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B4035" w:rsidRDefault="00A745FD" w14:paraId="5D5F2F14" w14:textId="31EB935D">
      <w:pPr>
        <w:spacing w:after="182" w:line="259" w:lineRule="auto"/>
        <w:ind w:left="83" w:firstLine="0"/>
        <w:jc w:val="center"/>
      </w:pPr>
    </w:p>
    <w:p w:rsidR="004B4035" w:rsidRDefault="00A745FD" w14:paraId="279DF180" w14:textId="77777777">
      <w:pPr>
        <w:spacing w:after="0" w:line="259" w:lineRule="auto"/>
        <w:ind w:left="83" w:firstLine="0"/>
        <w:jc w:val="center"/>
      </w:pPr>
      <w:r w:rsidR="00A745FD">
        <w:rPr/>
        <w:t xml:space="preserve"> </w:t>
      </w:r>
    </w:p>
    <w:p w:rsidR="004B4035" w:rsidP="0D4EAA4F" w:rsidRDefault="00A745FD" w14:paraId="7146902B" w14:textId="1BD2BC58">
      <w:pPr>
        <w:pStyle w:val="Normal"/>
        <w:spacing w:after="0" w:line="259" w:lineRule="auto"/>
        <w:ind w:left="2654" w:firstLine="0"/>
      </w:pPr>
      <w:r w:rsidR="7E5844C2">
        <w:drawing>
          <wp:inline wp14:editId="44AB21B2" wp14:anchorId="27F98871">
            <wp:extent cx="3486150" cy="1752600"/>
            <wp:effectExtent l="0" t="0" r="0" b="0"/>
            <wp:docPr id="3952668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5266835" name=""/>
                    <pic:cNvPicPr/>
                  </pic:nvPicPr>
                  <pic:blipFill>
                    <a:blip xmlns:r="http://schemas.openxmlformats.org/officeDocument/2006/relationships" r:embed="rId728704395">
                      <a:extLst>
                        <a:ext xmlns:a="http://schemas.openxmlformats.org/drawingml/2006/main" uri="{28A0092B-C50C-407E-A947-70E740481C1C}">
                          <a14:useLocalDpi xmlns:a14="http://schemas.microsoft.com/office/drawing/2010/main" val="0"/>
                        </a:ext>
                      </a:extLst>
                    </a:blip>
                    <a:stretch>
                      <a:fillRect/>
                    </a:stretch>
                  </pic:blipFill>
                  <pic:spPr>
                    <a:xfrm>
                      <a:off x="0" y="0"/>
                      <a:ext cx="3486150" cy="1752600"/>
                    </a:xfrm>
                    <a:prstGeom prst="rect">
                      <a:avLst/>
                    </a:prstGeom>
                  </pic:spPr>
                </pic:pic>
              </a:graphicData>
            </a:graphic>
          </wp:inline>
        </w:drawing>
      </w:r>
    </w:p>
    <w:p w:rsidR="004B4035" w:rsidP="0D4EAA4F" w:rsidRDefault="00A745FD" w14:paraId="486F7ECD" w14:textId="63B8328A">
      <w:pPr>
        <w:spacing w:after="358" w:line="259" w:lineRule="auto"/>
        <w:ind w:left="720" w:right="2570" w:firstLine="0"/>
        <w:jc w:val="right"/>
      </w:pPr>
    </w:p>
    <w:p w:rsidR="004B4035" w:rsidRDefault="00A745FD" w14:paraId="7860602D" w14:textId="77777777">
      <w:pPr>
        <w:spacing w:after="411" w:line="259" w:lineRule="auto"/>
        <w:ind w:left="0" w:firstLine="0"/>
      </w:pPr>
      <w:r>
        <w:rPr>
          <w:rFonts w:ascii="Calibri" w:hAnsi="Calibri" w:eastAsia="Calibri" w:cs="Calibri"/>
        </w:rPr>
        <w:t xml:space="preserve"> </w:t>
      </w:r>
    </w:p>
    <w:p w:rsidR="004B4035" w:rsidRDefault="00A745FD" w14:paraId="24569928" w14:textId="3CA41681">
      <w:pPr>
        <w:spacing w:after="0" w:line="259" w:lineRule="auto"/>
        <w:ind w:right="2610"/>
        <w:jc w:val="right"/>
      </w:pPr>
      <w:r w:rsidRPr="0D4EAA4F" w:rsidR="00A745FD">
        <w:rPr>
          <w:b w:val="1"/>
          <w:bCs w:val="1"/>
          <w:sz w:val="48"/>
          <w:szCs w:val="48"/>
        </w:rPr>
        <w:t xml:space="preserve">First </w:t>
      </w:r>
      <w:r w:rsidRPr="0D4EAA4F" w:rsidR="00A745FD">
        <w:rPr>
          <w:b w:val="1"/>
          <w:bCs w:val="1"/>
          <w:color w:val="FF0000"/>
          <w:sz w:val="48"/>
          <w:szCs w:val="48"/>
        </w:rPr>
        <w:t xml:space="preserve">Star </w:t>
      </w:r>
      <w:r w:rsidRPr="0D4EAA4F" w:rsidR="00A745FD">
        <w:rPr>
          <w:b w:val="1"/>
          <w:bCs w:val="1"/>
          <w:sz w:val="48"/>
          <w:szCs w:val="48"/>
        </w:rPr>
        <w:t>S</w:t>
      </w:r>
      <w:r w:rsidRPr="0D4EAA4F" w:rsidR="4BE17B41">
        <w:rPr>
          <w:b w:val="1"/>
          <w:bCs w:val="1"/>
          <w:sz w:val="48"/>
          <w:szCs w:val="48"/>
        </w:rPr>
        <w:t>c</w:t>
      </w:r>
      <w:r w:rsidRPr="0D4EAA4F" w:rsidR="00A745FD">
        <w:rPr>
          <w:b w:val="1"/>
          <w:bCs w:val="1"/>
          <w:sz w:val="48"/>
          <w:szCs w:val="48"/>
        </w:rPr>
        <w:t xml:space="preserve">holars </w:t>
      </w:r>
      <w:r w:rsidRPr="0D4EAA4F" w:rsidR="00A745FD">
        <w:rPr>
          <w:b w:val="1"/>
          <w:bCs w:val="1"/>
          <w:color w:val="FF0000"/>
          <w:sz w:val="48"/>
          <w:szCs w:val="48"/>
        </w:rPr>
        <w:t xml:space="preserve">UK </w:t>
      </w:r>
    </w:p>
    <w:p w:rsidR="00A745FD" w:rsidP="0D4EAA4F" w:rsidRDefault="00A745FD" w14:paraId="752F0D59" w14:textId="2C7870EA">
      <w:pPr>
        <w:spacing w:after="412" w:line="259" w:lineRule="auto"/>
        <w:ind w:left="0" w:firstLine="0"/>
        <w:jc w:val="center"/>
        <w:rPr>
          <w:b w:val="1"/>
          <w:bCs w:val="1"/>
          <w:sz w:val="48"/>
          <w:szCs w:val="48"/>
        </w:rPr>
      </w:pPr>
      <w:r w:rsidRPr="0D4EAA4F" w:rsidR="00A745FD">
        <w:rPr>
          <w:rFonts w:ascii="Calibri" w:hAnsi="Calibri" w:eastAsia="Calibri" w:cs="Calibri"/>
        </w:rPr>
        <w:t xml:space="preserve"> </w:t>
      </w:r>
      <w:r w:rsidRPr="0D4EAA4F" w:rsidR="00A745FD">
        <w:rPr>
          <w:b w:val="1"/>
          <w:bCs w:val="1"/>
          <w:sz w:val="48"/>
          <w:szCs w:val="48"/>
        </w:rPr>
        <w:t xml:space="preserve">Risk Management Policy </w:t>
      </w:r>
    </w:p>
    <w:tbl>
      <w:tblPr>
        <w:tblStyle w:val="TableGrid0"/>
        <w:tblW w:w="10348" w:type="dxa"/>
        <w:jc w:val="center"/>
        <w:tblLook w:val="04A0" w:firstRow="1" w:lastRow="0" w:firstColumn="1" w:lastColumn="0" w:noHBand="0" w:noVBand="1"/>
      </w:tblPr>
      <w:tblGrid>
        <w:gridCol w:w="7371"/>
        <w:gridCol w:w="2977"/>
      </w:tblGrid>
      <w:tr w:rsidRPr="00A745FD" w:rsidR="00A745FD" w:rsidTr="475A1035" w14:paraId="4A509EB0"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75A1035" w:rsidP="475A1035" w:rsidRDefault="475A1035" w14:paraId="228FF009" w14:textId="0C604E9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US"/>
              </w:rPr>
              <w:t>Date of Last Review</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75A1035" w:rsidP="475A1035" w:rsidRDefault="475A1035" w14:paraId="0A8FDD83" w14:textId="60C7150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18/09/2026</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r>
      <w:tr w:rsidRPr="00A745FD" w:rsidR="00A745FD" w:rsidTr="475A1035" w14:paraId="152DB7E1"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75A1035" w:rsidP="475A1035" w:rsidRDefault="475A1035" w14:paraId="57306952" w14:textId="1E3135E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US"/>
              </w:rPr>
              <w:t>Review Cycle</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75A1035" w:rsidP="475A1035" w:rsidRDefault="475A1035" w14:paraId="0C6019B6" w14:textId="3DFD4AC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Annually</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r>
      <w:tr w:rsidRPr="00A745FD" w:rsidR="00A745FD" w:rsidTr="475A1035" w14:paraId="39EA03C5"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75A1035" w:rsidP="475A1035" w:rsidRDefault="475A1035" w14:paraId="6EC6963F" w14:textId="4BF2E70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75A1035" w:rsidP="475A1035" w:rsidRDefault="475A1035" w14:paraId="0513651A" w14:textId="6348B98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09/2027</w:t>
            </w:r>
          </w:p>
        </w:tc>
      </w:tr>
      <w:tr w:rsidRPr="00A745FD" w:rsidR="00A745FD" w:rsidTr="475A1035" w14:paraId="7AB024FE"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75A1035" w:rsidP="475A1035" w:rsidRDefault="475A1035" w14:paraId="58C49679" w14:textId="79C3F0E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75A1035" w:rsidP="475A1035" w:rsidRDefault="475A1035" w14:paraId="0D433286" w14:textId="76FAD26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29/10/2024</w:t>
            </w:r>
          </w:p>
        </w:tc>
      </w:tr>
      <w:tr w:rsidRPr="00A745FD" w:rsidR="00A745FD" w:rsidTr="475A1035" w14:paraId="7E1CE7B1"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475A1035" w:rsidP="475A1035" w:rsidRDefault="475A1035" w14:paraId="3E691243" w14:textId="1269B52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475A1035" w:rsidP="475A1035" w:rsidRDefault="475A1035" w14:paraId="77ED33E4" w14:textId="36859DB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D Molloy</w:t>
            </w:r>
          </w:p>
        </w:tc>
      </w:tr>
      <w:tr w:rsidRPr="00A745FD" w:rsidR="00A745FD" w:rsidTr="475A1035" w14:paraId="5BC8B06C" w14:textId="77777777">
        <w:trPr>
          <w:jc w:val="center"/>
        </w:trPr>
        <w:tc>
          <w:tcPr>
            <w:tcW w:w="7371" w:type="dxa"/>
            <w:tcBorders>
              <w:top w:val="single" w:color="auto" w:sz="4" w:space="0"/>
              <w:left w:val="single" w:color="auto" w:sz="4" w:space="0"/>
              <w:bottom w:val="single" w:color="auto" w:sz="4" w:space="0"/>
              <w:right w:val="single" w:color="auto" w:sz="4" w:space="0"/>
            </w:tcBorders>
            <w:tcMar/>
          </w:tcPr>
          <w:p w:rsidR="475A1035" w:rsidP="475A1035" w:rsidRDefault="475A1035" w14:paraId="4F45475D" w14:textId="5B00C9C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Signed:  Diarmuid Molloy </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p w:rsidR="475A1035" w:rsidP="475A1035" w:rsidRDefault="475A1035" w14:paraId="1B7A2EF7" w14:textId="37F1A17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 xml:space="preserve">CEO    </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p w:rsidR="475A1035" w:rsidP="475A1035" w:rsidRDefault="475A1035" w14:paraId="5FB173E8" w14:textId="10319551">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r w:rsidR="519776C3">
              <w:drawing>
                <wp:inline wp14:editId="2946AB1A" wp14:anchorId="101318EE">
                  <wp:extent cx="1647825" cy="523875"/>
                  <wp:effectExtent l="0" t="0" r="0" b="0"/>
                  <wp:docPr id="39181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1818428" name="Picture 391818428"/>
                          <pic:cNvPicPr/>
                        </pic:nvPicPr>
                        <pic:blipFill>
                          <a:blip xmlns:r="http://schemas.openxmlformats.org/officeDocument/2006/relationships" r:embed="rId943622629">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475A1035" w:rsidP="475A1035" w:rsidRDefault="475A1035" w14:paraId="21DD4F6A" w14:textId="06A76470">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475A1035" w:rsidP="475A1035" w:rsidRDefault="475A1035" w14:paraId="463EB0A0" w14:textId="7D382E1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Signed:  Robert Gratton</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p w:rsidR="519776C3" w:rsidP="475A1035" w:rsidRDefault="519776C3" w14:paraId="3569C8C6" w14:textId="6135722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519776C3">
              <w:drawing>
                <wp:inline wp14:editId="0C6536A0" wp14:anchorId="0454BFA3">
                  <wp:extent cx="1323975" cy="762000"/>
                  <wp:effectExtent l="0" t="0" r="0" b="0"/>
                  <wp:docPr id="15171914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7191493" name="Picture 1517191493"/>
                          <pic:cNvPicPr/>
                        </pic:nvPicPr>
                        <pic:blipFill>
                          <a:blip xmlns:r="http://schemas.openxmlformats.org/officeDocument/2006/relationships" r:embed="rId591604610">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475A1035" w:rsidP="475A1035" w:rsidRDefault="475A1035" w14:paraId="1EDA95FC" w14:textId="0F868A8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hideMark/>
          </w:tcPr>
          <w:p w:rsidR="475A1035" w:rsidP="475A1035" w:rsidRDefault="475A1035" w14:paraId="5B964A3B" w14:textId="236CF97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Date  </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p w:rsidR="475A1035" w:rsidP="475A1035" w:rsidRDefault="475A1035" w14:paraId="15196DC3" w14:textId="751B5BF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0"/>
                <w:bCs w:val="0"/>
                <w:i w:val="0"/>
                <w:iCs w:val="0"/>
                <w:caps w:val="0"/>
                <w:smallCaps w:val="0"/>
                <w:color w:val="000000" w:themeColor="text1" w:themeTint="FF" w:themeShade="FF"/>
                <w:sz w:val="24"/>
                <w:szCs w:val="24"/>
                <w:lang w:val="en-GB"/>
              </w:rPr>
              <w:t> 18/09/26</w:t>
            </w:r>
          </w:p>
          <w:p w:rsidR="475A1035" w:rsidP="475A1035" w:rsidRDefault="475A1035" w14:paraId="33286559" w14:textId="1D88268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p w:rsidR="475A1035" w:rsidP="475A1035" w:rsidRDefault="475A1035" w14:paraId="516711A2" w14:textId="082EEB2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475A1035" w:rsidP="475A1035" w:rsidRDefault="475A1035" w14:paraId="67393F29" w14:textId="1A5BB5F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475A1035" w:rsidP="475A1035" w:rsidRDefault="475A1035" w14:paraId="33874EC9" w14:textId="4ABADFF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1"/>
                <w:bCs w:val="1"/>
                <w:i w:val="0"/>
                <w:iCs w:val="0"/>
                <w:caps w:val="0"/>
                <w:smallCaps w:val="0"/>
                <w:color w:val="000000" w:themeColor="text1" w:themeTint="FF" w:themeShade="FF"/>
                <w:sz w:val="24"/>
                <w:szCs w:val="24"/>
                <w:lang w:val="en-GB"/>
              </w:rPr>
              <w:t>Date</w:t>
            </w:r>
            <w:r w:rsidRPr="475A1035" w:rsidR="475A1035">
              <w:rPr>
                <w:rFonts w:ascii="Arial" w:hAnsi="Arial" w:eastAsia="Arial" w:cs="Arial"/>
                <w:b w:val="0"/>
                <w:bCs w:val="0"/>
                <w:i w:val="0"/>
                <w:iCs w:val="0"/>
                <w:caps w:val="0"/>
                <w:smallCaps w:val="0"/>
                <w:color w:val="000000" w:themeColor="text1" w:themeTint="FF" w:themeShade="FF"/>
                <w:sz w:val="24"/>
                <w:szCs w:val="24"/>
                <w:lang w:val="en-GB"/>
              </w:rPr>
              <w:t> </w:t>
            </w:r>
          </w:p>
          <w:p w:rsidR="475A1035" w:rsidP="475A1035" w:rsidRDefault="475A1035" w14:paraId="3BBE39EE" w14:textId="361F03C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475A1035" w:rsidR="475A1035">
              <w:rPr>
                <w:rFonts w:ascii="Arial" w:hAnsi="Arial" w:eastAsia="Arial" w:cs="Arial"/>
                <w:b w:val="0"/>
                <w:bCs w:val="0"/>
                <w:i w:val="0"/>
                <w:iCs w:val="0"/>
                <w:caps w:val="0"/>
                <w:smallCaps w:val="0"/>
                <w:color w:val="000000" w:themeColor="text1" w:themeTint="FF" w:themeShade="FF"/>
                <w:sz w:val="24"/>
                <w:szCs w:val="24"/>
                <w:lang w:val="en-GB"/>
              </w:rPr>
              <w:t>18/09/26</w:t>
            </w:r>
          </w:p>
          <w:p w:rsidR="475A1035" w:rsidP="475A1035" w:rsidRDefault="475A1035" w14:paraId="4EB5F75F" w14:textId="4385731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Pr="00A745FD" w:rsidR="004B4035" w:rsidP="0D4EAA4F" w:rsidRDefault="00A745FD" w14:paraId="5F1E1114" w14:textId="0BFD4251">
      <w:pPr>
        <w:pStyle w:val="Normal"/>
        <w:spacing w:after="0" w:line="259" w:lineRule="auto"/>
        <w:ind w:right="2279"/>
        <w:rPr>
          <w:b w:val="1"/>
          <w:bCs w:val="1"/>
        </w:rPr>
      </w:pPr>
      <w:r w:rsidRPr="0D4EAA4F" w:rsidR="00A745FD">
        <w:rPr>
          <w:b w:val="1"/>
          <w:bCs w:val="1"/>
        </w:rPr>
        <w:t xml:space="preserve">Introduction </w:t>
      </w:r>
    </w:p>
    <w:p w:rsidR="004B4035" w:rsidRDefault="00A745FD" w14:paraId="1F820C97" w14:textId="6EA6A549">
      <w:pPr>
        <w:spacing w:after="271"/>
      </w:pPr>
      <w:r>
        <w:t xml:space="preserve">We recognise the importance of effective risk management to achieve First Star Scholars UK’s (the charity) objectives. This policy outlines our commitment to identifying, assessing, and managing risks to ensure our resilience and continued success. </w:t>
      </w:r>
    </w:p>
    <w:p w:rsidR="004B4035" w:rsidRDefault="00A745FD" w14:paraId="5B29B041" w14:textId="77777777">
      <w:pPr>
        <w:pStyle w:val="Heading1"/>
        <w:ind w:left="-5"/>
      </w:pPr>
      <w:r>
        <w:t xml:space="preserve">Purpose </w:t>
      </w:r>
    </w:p>
    <w:p w:rsidR="004B4035" w:rsidRDefault="00A745FD" w14:paraId="695B9EAE" w14:textId="77777777">
      <w:pPr>
        <w:spacing w:after="270"/>
      </w:pPr>
      <w:r>
        <w:t xml:space="preserve">The purpose of this policy is to establish a framework for identifying, assessing, prioritising, and managing risks associated with our activities. It aims to ensure a systematic and proactive approach to risk management, protecting the charity, its beneficiaries, and stakeholders. </w:t>
      </w:r>
    </w:p>
    <w:p w:rsidR="004B4035" w:rsidRDefault="00A745FD" w14:paraId="7AE356B8" w14:textId="77777777">
      <w:pPr>
        <w:pStyle w:val="Heading1"/>
        <w:ind w:left="-5"/>
      </w:pPr>
      <w:r>
        <w:t xml:space="preserve">Scope </w:t>
      </w:r>
    </w:p>
    <w:p w:rsidR="004B4035" w:rsidRDefault="00A745FD" w14:paraId="7E82C50E" w14:textId="77777777">
      <w:pPr>
        <w:spacing w:after="271"/>
      </w:pPr>
      <w:r>
        <w:t xml:space="preserve">This policy applies to all trustees, employees, volunteers, and stakeholders involved in our work.  It covers all aspects of the charity’s operations, including but not limited to programmes, finances, reputational risk, and governance.  Where necessary, we will create additional relevant policies, such as systems of internal control, due diligence, and health &amp; safety policies.  </w:t>
      </w:r>
    </w:p>
    <w:p w:rsidR="004B4035" w:rsidRDefault="00A745FD" w14:paraId="79CE9FCC" w14:textId="77777777">
      <w:pPr>
        <w:pStyle w:val="Heading1"/>
        <w:ind w:left="-5"/>
      </w:pPr>
      <w:r>
        <w:t xml:space="preserve">Risk Management Cycle </w:t>
      </w:r>
    </w:p>
    <w:p w:rsidR="004B4035" w:rsidRDefault="00A745FD" w14:paraId="06D53CBD" w14:textId="77777777">
      <w:pPr>
        <w:spacing w:after="287"/>
      </w:pPr>
      <w:r>
        <w:t xml:space="preserve">Risk is usually managed by means of a cycle of identification, quantification, management, and review. </w:t>
      </w:r>
    </w:p>
    <w:p w:rsidR="004B4035" w:rsidRDefault="00A745FD" w14:paraId="3D87DA3B" w14:textId="77777777">
      <w:pPr>
        <w:numPr>
          <w:ilvl w:val="0"/>
          <w:numId w:val="1"/>
        </w:numPr>
        <w:ind w:hanging="360"/>
      </w:pPr>
      <w:r>
        <w:rPr>
          <w:b/>
        </w:rPr>
        <w:t xml:space="preserve">Identification </w:t>
      </w:r>
      <w:r>
        <w:t xml:space="preserve">- Identify the various risks that may materialise.   </w:t>
      </w:r>
    </w:p>
    <w:p w:rsidR="004B4035" w:rsidRDefault="00A745FD" w14:paraId="1FCBCC6C" w14:textId="77777777">
      <w:pPr>
        <w:numPr>
          <w:ilvl w:val="0"/>
          <w:numId w:val="1"/>
        </w:numPr>
        <w:ind w:hanging="360"/>
      </w:pPr>
      <w:r>
        <w:rPr>
          <w:b/>
        </w:rPr>
        <w:t>Quantifying</w:t>
      </w:r>
      <w:r>
        <w:t xml:space="preserve"> - Assess and quantify these risks. </w:t>
      </w:r>
    </w:p>
    <w:p w:rsidR="004B4035" w:rsidRDefault="00A745FD" w14:paraId="686E0D8B" w14:textId="77777777">
      <w:pPr>
        <w:numPr>
          <w:ilvl w:val="0"/>
          <w:numId w:val="1"/>
        </w:numPr>
        <w:ind w:hanging="360"/>
      </w:pPr>
      <w:r>
        <w:rPr>
          <w:b/>
        </w:rPr>
        <w:t>Managing</w:t>
      </w:r>
      <w:r>
        <w:t xml:space="preserve"> - Take appropriate action to manage these risks. This is usually the weakest area in a risk management framework.  Risks can be managed as follows: </w:t>
      </w:r>
    </w:p>
    <w:p w:rsidR="004B4035" w:rsidRDefault="00A745FD" w14:paraId="610A842E" w14:textId="77777777">
      <w:pPr>
        <w:spacing w:after="0" w:line="259" w:lineRule="auto"/>
        <w:ind w:left="720" w:firstLine="0"/>
      </w:pPr>
      <w:r>
        <w:t xml:space="preserve"> </w:t>
      </w:r>
    </w:p>
    <w:p w:rsidR="004B4035" w:rsidRDefault="00A745FD" w14:paraId="6B7DCE1F" w14:textId="77777777">
      <w:pPr>
        <w:ind w:left="730"/>
      </w:pPr>
      <w:r>
        <w:rPr>
          <w:u w:val="single" w:color="000000"/>
        </w:rPr>
        <w:t>Avoidance</w:t>
      </w:r>
      <w:r>
        <w:t xml:space="preserve"> - Action that can be taken to avoid a risk occurring. </w:t>
      </w:r>
    </w:p>
    <w:p w:rsidR="004B4035" w:rsidRDefault="00A745FD" w14:paraId="54596D4D" w14:textId="77777777">
      <w:pPr>
        <w:ind w:left="730"/>
      </w:pPr>
      <w:r>
        <w:rPr>
          <w:u w:val="single" w:color="000000"/>
        </w:rPr>
        <w:t>Mitigation</w:t>
      </w:r>
      <w:r>
        <w:t xml:space="preserve"> - Action that can be taken to reduce the impact a risk may have, if it occurs. </w:t>
      </w:r>
    </w:p>
    <w:p w:rsidR="004B4035" w:rsidRDefault="00A745FD" w14:paraId="05C30E80" w14:textId="77777777">
      <w:pPr>
        <w:ind w:left="730"/>
      </w:pPr>
      <w:r>
        <w:rPr>
          <w:u w:val="single" w:color="000000"/>
        </w:rPr>
        <w:t>Buying Out</w:t>
      </w:r>
      <w:r>
        <w:t xml:space="preserve"> - Generally, this is done using insurance. </w:t>
      </w:r>
    </w:p>
    <w:p w:rsidR="004B4035" w:rsidRDefault="00A745FD" w14:paraId="270FEAB7" w14:textId="77777777">
      <w:pPr>
        <w:ind w:left="730"/>
      </w:pPr>
      <w:r>
        <w:rPr>
          <w:u w:val="single" w:color="000000"/>
        </w:rPr>
        <w:t xml:space="preserve">Accepting </w:t>
      </w:r>
      <w:r>
        <w:t xml:space="preserve">- Risk cannot be eliminated entirely, and any steps taken to manage risk must be reasonable, as resources are not unlimited in terms of money and time.  Equally, adopting a purely risk adverse approach limits opportunity.  </w:t>
      </w:r>
    </w:p>
    <w:p w:rsidR="004B4035" w:rsidRDefault="00A745FD" w14:paraId="28AC3A62" w14:textId="77777777">
      <w:pPr>
        <w:spacing w:after="0" w:line="259" w:lineRule="auto"/>
        <w:ind w:left="720" w:firstLine="0"/>
      </w:pPr>
      <w:r>
        <w:t xml:space="preserve"> </w:t>
      </w:r>
    </w:p>
    <w:p w:rsidR="004B4035" w:rsidRDefault="00A745FD" w14:paraId="72489B83" w14:textId="77777777">
      <w:pPr>
        <w:numPr>
          <w:ilvl w:val="0"/>
          <w:numId w:val="1"/>
        </w:numPr>
        <w:spacing w:after="270"/>
        <w:ind w:hanging="360"/>
      </w:pPr>
      <w:r>
        <w:rPr>
          <w:b/>
        </w:rPr>
        <w:t xml:space="preserve">Reviewing </w:t>
      </w:r>
      <w:r>
        <w:t xml:space="preserve">- Risks should be reviewed as regularly as is necessary, depending on their likely probability and impact in the light of changing circumstances.  This may be done on an ongoing basis, at appropriate points in projects or at regular meetings. Risk assessments will be reviewed annually and as needs must on a dynamic basis. </w:t>
      </w:r>
    </w:p>
    <w:p w:rsidR="004B4035" w:rsidRDefault="00A745FD" w14:paraId="6682EF97" w14:textId="77777777">
      <w:pPr>
        <w:pStyle w:val="Heading1"/>
        <w:ind w:left="-5"/>
      </w:pPr>
      <w:r>
        <w:t xml:space="preserve">Responsibilities </w:t>
      </w:r>
    </w:p>
    <w:p w:rsidR="004B4035" w:rsidRDefault="00A745FD" w14:paraId="482E6F90" w14:textId="77777777">
      <w:r>
        <w:t xml:space="preserve">The board of trustees have overall responsibility for ensuring that there is an appropriate system of controls, financial and otherwise, in place and working effectively.  The systems of </w:t>
      </w:r>
      <w:r>
        <w:t xml:space="preserve">financial control are designed to provide reasonable, but not absolute, assurance against material misstatement or loss. See Financial Controls Policy. These include: </w:t>
      </w:r>
    </w:p>
    <w:p w:rsidR="004B4035" w:rsidRDefault="00A745FD" w14:paraId="387ABCE2" w14:textId="77777777">
      <w:pPr>
        <w:numPr>
          <w:ilvl w:val="0"/>
          <w:numId w:val="2"/>
        </w:numPr>
        <w:ind w:hanging="360"/>
      </w:pPr>
      <w:r>
        <w:t xml:space="preserve">a strategic plan and business plan and budget approved by the board of trustees. </w:t>
      </w:r>
    </w:p>
    <w:p w:rsidR="004B4035" w:rsidRDefault="00A745FD" w14:paraId="57ACEE36" w14:textId="77777777">
      <w:pPr>
        <w:numPr>
          <w:ilvl w:val="0"/>
          <w:numId w:val="2"/>
        </w:numPr>
        <w:ind w:hanging="360"/>
      </w:pPr>
      <w:r>
        <w:t xml:space="preserve">regular consideration by the board of trustees of financial results and variance from budgets. </w:t>
      </w:r>
    </w:p>
    <w:p w:rsidR="004B4035" w:rsidRDefault="00A745FD" w14:paraId="203B6BBB" w14:textId="77777777">
      <w:pPr>
        <w:numPr>
          <w:ilvl w:val="0"/>
          <w:numId w:val="2"/>
        </w:numPr>
        <w:ind w:hanging="360"/>
      </w:pPr>
      <w:r>
        <w:t xml:space="preserve">delegation of authority and segregation of duties.  </w:t>
      </w:r>
    </w:p>
    <w:p w:rsidR="004B4035" w:rsidRDefault="00A745FD" w14:paraId="22A09DCE" w14:textId="77777777">
      <w:pPr>
        <w:numPr>
          <w:ilvl w:val="0"/>
          <w:numId w:val="2"/>
        </w:numPr>
        <w:spacing w:after="223"/>
        <w:ind w:hanging="360"/>
      </w:pPr>
      <w:r>
        <w:t xml:space="preserve">management of risk. </w:t>
      </w:r>
    </w:p>
    <w:p w:rsidR="004B4035" w:rsidRDefault="00A745FD" w14:paraId="06D2BC82" w14:textId="77777777">
      <w:pPr>
        <w:spacing w:after="270"/>
      </w:pPr>
      <w:r>
        <w:t xml:space="preserve">All staff and volunteers have a role in identifying and reporting risks within their respective areas of responsibility. </w:t>
      </w:r>
    </w:p>
    <w:p w:rsidR="004B4035" w:rsidRDefault="00A745FD" w14:paraId="5D968471" w14:textId="77777777">
      <w:pPr>
        <w:pStyle w:val="Heading1"/>
        <w:ind w:left="-5"/>
      </w:pPr>
      <w:r>
        <w:t xml:space="preserve">Risk Identification and Assessment </w:t>
      </w:r>
    </w:p>
    <w:p w:rsidR="004B4035" w:rsidRDefault="00A745FD" w14:paraId="7263CC3F" w14:textId="77777777">
      <w:pPr>
        <w:spacing w:after="260" w:line="240" w:lineRule="auto"/>
        <w:ind w:left="0" w:right="123" w:firstLine="0"/>
        <w:jc w:val="both"/>
      </w:pPr>
      <w:r>
        <w:t xml:space="preserve">Risks will be identified through regular risk assessments conducted at least annually. Identified risks will be assessed based on likelihood and impact to determine the level of risk. Risks will be categorised as outlined below: </w:t>
      </w:r>
    </w:p>
    <w:p w:rsidR="004B4035" w:rsidRDefault="00A745FD" w14:paraId="799F8DFC" w14:textId="77777777">
      <w:pPr>
        <w:spacing w:after="0" w:line="259" w:lineRule="auto"/>
        <w:ind w:left="0" w:firstLine="0"/>
      </w:pPr>
      <w:r>
        <w:rPr>
          <w:sz w:val="22"/>
        </w:rPr>
        <w:t xml:space="preserve"> </w:t>
      </w:r>
    </w:p>
    <w:tbl>
      <w:tblPr>
        <w:tblStyle w:val="TableGrid"/>
        <w:tblW w:w="9628" w:type="dxa"/>
        <w:tblInd w:w="407" w:type="dxa"/>
        <w:tblCellMar>
          <w:top w:w="50" w:type="dxa"/>
          <w:left w:w="113" w:type="dxa"/>
          <w:right w:w="445" w:type="dxa"/>
        </w:tblCellMar>
        <w:tblLook w:val="04A0" w:firstRow="1" w:lastRow="0" w:firstColumn="1" w:lastColumn="0" w:noHBand="0" w:noVBand="1"/>
      </w:tblPr>
      <w:tblGrid>
        <w:gridCol w:w="2714"/>
        <w:gridCol w:w="6914"/>
      </w:tblGrid>
      <w:tr w:rsidR="004B4035" w14:paraId="50570151" w14:textId="77777777">
        <w:trPr>
          <w:trHeight w:val="464"/>
        </w:trPr>
        <w:tc>
          <w:tcPr>
            <w:tcW w:w="2714" w:type="dxa"/>
            <w:tcBorders>
              <w:top w:val="nil"/>
              <w:left w:val="nil"/>
              <w:bottom w:val="nil"/>
              <w:right w:val="nil"/>
            </w:tcBorders>
            <w:shd w:val="clear" w:color="auto" w:fill="0D1348"/>
          </w:tcPr>
          <w:p w:rsidR="004B4035" w:rsidRDefault="00A745FD" w14:paraId="7916FB8C" w14:textId="77777777">
            <w:pPr>
              <w:spacing w:after="0" w:line="259" w:lineRule="auto"/>
              <w:ind w:left="0" w:firstLine="0"/>
            </w:pPr>
            <w:r>
              <w:rPr>
                <w:color w:val="FFFFFF"/>
              </w:rPr>
              <w:t xml:space="preserve">Risk category </w:t>
            </w:r>
          </w:p>
        </w:tc>
        <w:tc>
          <w:tcPr>
            <w:tcW w:w="6914" w:type="dxa"/>
            <w:tcBorders>
              <w:top w:val="nil"/>
              <w:left w:val="nil"/>
              <w:bottom w:val="nil"/>
              <w:right w:val="nil"/>
            </w:tcBorders>
            <w:shd w:val="clear" w:color="auto" w:fill="0D1348"/>
          </w:tcPr>
          <w:p w:rsidR="004B4035" w:rsidRDefault="00A745FD" w14:paraId="01BD2592" w14:textId="77777777">
            <w:pPr>
              <w:spacing w:after="0" w:line="259" w:lineRule="auto"/>
              <w:ind w:left="3" w:firstLine="0"/>
            </w:pPr>
            <w:r>
              <w:rPr>
                <w:color w:val="FFFFFF"/>
              </w:rPr>
              <w:t xml:space="preserve">Examples </w:t>
            </w:r>
          </w:p>
        </w:tc>
      </w:tr>
      <w:tr w:rsidR="004B4035" w14:paraId="5859CB3B" w14:textId="77777777">
        <w:trPr>
          <w:trHeight w:val="832"/>
        </w:trPr>
        <w:tc>
          <w:tcPr>
            <w:tcW w:w="2714" w:type="dxa"/>
            <w:tcBorders>
              <w:top w:val="nil"/>
              <w:left w:val="single" w:color="0D1348" w:sz="3" w:space="0"/>
              <w:bottom w:val="single" w:color="0D1348" w:sz="3" w:space="0"/>
              <w:right w:val="single" w:color="0D1348" w:sz="3" w:space="0"/>
            </w:tcBorders>
          </w:tcPr>
          <w:p w:rsidR="004B4035" w:rsidRDefault="00A745FD" w14:paraId="34DA71DF" w14:textId="77777777">
            <w:pPr>
              <w:spacing w:after="0" w:line="259" w:lineRule="auto"/>
              <w:ind w:left="4" w:firstLine="0"/>
            </w:pPr>
            <w:r>
              <w:rPr>
                <w:color w:val="1A171C"/>
              </w:rPr>
              <w:t>Governance risks</w:t>
            </w:r>
            <w:r>
              <w:t xml:space="preserve"> </w:t>
            </w:r>
          </w:p>
        </w:tc>
        <w:tc>
          <w:tcPr>
            <w:tcW w:w="6914" w:type="dxa"/>
            <w:tcBorders>
              <w:top w:val="nil"/>
              <w:left w:val="single" w:color="0D1348" w:sz="3" w:space="0"/>
              <w:bottom w:val="single" w:color="0D1348" w:sz="3" w:space="0"/>
              <w:right w:val="single" w:color="0D1348" w:sz="3" w:space="0"/>
            </w:tcBorders>
          </w:tcPr>
          <w:p w:rsidR="004B4035" w:rsidP="00A745FD" w:rsidRDefault="00A745FD" w14:paraId="3B4F42A4" w14:textId="5D51C8EF">
            <w:pPr>
              <w:spacing w:after="0" w:line="259" w:lineRule="auto"/>
              <w:ind w:left="3" w:right="498" w:firstLine="0"/>
            </w:pPr>
            <w:r>
              <w:rPr>
                <w:color w:val="0D1348"/>
                <w:sz w:val="22"/>
              </w:rPr>
              <w:t xml:space="preserve">• </w:t>
            </w:r>
            <w:r>
              <w:rPr>
                <w:color w:val="1A171C"/>
              </w:rPr>
              <w:t>inappropriate organisational structure</w:t>
            </w:r>
            <w:r>
              <w:t xml:space="preserve"> </w:t>
            </w:r>
          </w:p>
          <w:p w:rsidR="00A745FD" w:rsidP="00A745FD" w:rsidRDefault="00A745FD" w14:paraId="2306E7CD" w14:textId="77777777">
            <w:pPr>
              <w:spacing w:after="0" w:line="259" w:lineRule="auto"/>
              <w:ind w:left="3" w:right="498" w:firstLine="0"/>
            </w:pPr>
            <w:r>
              <w:rPr>
                <w:color w:val="0D1348"/>
                <w:sz w:val="22"/>
              </w:rPr>
              <w:t xml:space="preserve">• </w:t>
            </w:r>
            <w:r>
              <w:rPr>
                <w:color w:val="1A171C"/>
              </w:rPr>
              <w:t>trustee body lacks relevant skills or commitment</w:t>
            </w:r>
            <w:r>
              <w:t xml:space="preserve"> </w:t>
            </w:r>
          </w:p>
          <w:p w:rsidR="004B4035" w:rsidP="00A745FD" w:rsidRDefault="00A745FD" w14:paraId="6ABC641E" w14:textId="066670ED">
            <w:pPr>
              <w:spacing w:after="0" w:line="259" w:lineRule="auto"/>
              <w:ind w:left="3" w:right="498" w:firstLine="0"/>
            </w:pPr>
            <w:r>
              <w:rPr>
                <w:color w:val="0D1348"/>
                <w:sz w:val="22"/>
              </w:rPr>
              <w:t xml:space="preserve">• </w:t>
            </w:r>
            <w:r>
              <w:rPr>
                <w:color w:val="1A171C"/>
              </w:rPr>
              <w:t>conflicts of interest</w:t>
            </w:r>
            <w:r>
              <w:t xml:space="preserve"> </w:t>
            </w:r>
          </w:p>
        </w:tc>
      </w:tr>
      <w:tr w:rsidR="004B4035" w14:paraId="03460AE7" w14:textId="77777777">
        <w:trPr>
          <w:trHeight w:val="892"/>
        </w:trPr>
        <w:tc>
          <w:tcPr>
            <w:tcW w:w="2714" w:type="dxa"/>
            <w:tcBorders>
              <w:top w:val="single" w:color="0D1348" w:sz="3" w:space="0"/>
              <w:left w:val="single" w:color="0D1348" w:sz="3" w:space="0"/>
              <w:bottom w:val="single" w:color="0D1348" w:sz="3" w:space="0"/>
              <w:right w:val="single" w:color="0D1348" w:sz="3" w:space="0"/>
            </w:tcBorders>
          </w:tcPr>
          <w:p w:rsidR="004B4035" w:rsidRDefault="00A745FD" w14:paraId="07D68BB3" w14:textId="77777777">
            <w:pPr>
              <w:spacing w:after="0" w:line="259" w:lineRule="auto"/>
              <w:ind w:left="4" w:firstLine="0"/>
            </w:pPr>
            <w:r>
              <w:rPr>
                <w:color w:val="1A171C"/>
              </w:rPr>
              <w:t>Operational risks</w:t>
            </w:r>
            <w:r>
              <w:t xml:space="preserve"> </w:t>
            </w:r>
          </w:p>
        </w:tc>
        <w:tc>
          <w:tcPr>
            <w:tcW w:w="6914" w:type="dxa"/>
            <w:tcBorders>
              <w:top w:val="single" w:color="0D1348" w:sz="3" w:space="0"/>
              <w:left w:val="single" w:color="0D1348" w:sz="3" w:space="0"/>
              <w:bottom w:val="single" w:color="0D1348" w:sz="3" w:space="0"/>
              <w:right w:val="single" w:color="0D1348" w:sz="3" w:space="0"/>
            </w:tcBorders>
          </w:tcPr>
          <w:p w:rsidR="004B4035" w:rsidRDefault="00A745FD" w14:paraId="4CBA0FC5" w14:textId="77777777">
            <w:pPr>
              <w:numPr>
                <w:ilvl w:val="0"/>
                <w:numId w:val="7"/>
              </w:numPr>
              <w:spacing w:after="0" w:line="259" w:lineRule="auto"/>
              <w:ind w:hanging="172"/>
            </w:pPr>
            <w:r>
              <w:rPr>
                <w:color w:val="1A171C"/>
              </w:rPr>
              <w:t>lack of beneficiary welfare or safety</w:t>
            </w:r>
            <w:r>
              <w:t xml:space="preserve"> </w:t>
            </w:r>
          </w:p>
          <w:p w:rsidR="004B4035" w:rsidRDefault="00A745FD" w14:paraId="18FBC5D2" w14:textId="77777777">
            <w:pPr>
              <w:numPr>
                <w:ilvl w:val="0"/>
                <w:numId w:val="7"/>
              </w:numPr>
              <w:spacing w:after="0" w:line="259" w:lineRule="auto"/>
              <w:ind w:hanging="172"/>
            </w:pPr>
            <w:r>
              <w:rPr>
                <w:color w:val="1A171C"/>
              </w:rPr>
              <w:t>poor staff recruitment and training</w:t>
            </w:r>
            <w:r>
              <w:t xml:space="preserve"> </w:t>
            </w:r>
          </w:p>
          <w:p w:rsidR="004B4035" w:rsidRDefault="00A745FD" w14:paraId="0DE0C72F" w14:textId="77777777">
            <w:pPr>
              <w:numPr>
                <w:ilvl w:val="0"/>
                <w:numId w:val="7"/>
              </w:numPr>
              <w:spacing w:after="0" w:line="259" w:lineRule="auto"/>
              <w:ind w:hanging="172"/>
            </w:pPr>
            <w:r>
              <w:rPr>
                <w:color w:val="1A171C"/>
              </w:rPr>
              <w:t>doubt about security of assets</w:t>
            </w:r>
            <w:r>
              <w:t xml:space="preserve"> </w:t>
            </w:r>
          </w:p>
        </w:tc>
      </w:tr>
      <w:tr w:rsidR="004B4035" w14:paraId="511DE805" w14:textId="77777777">
        <w:trPr>
          <w:trHeight w:val="1388"/>
        </w:trPr>
        <w:tc>
          <w:tcPr>
            <w:tcW w:w="2714" w:type="dxa"/>
            <w:tcBorders>
              <w:top w:val="single" w:color="0D1348" w:sz="3" w:space="0"/>
              <w:left w:val="single" w:color="0D1348" w:sz="3" w:space="0"/>
              <w:bottom w:val="single" w:color="0D1348" w:sz="3" w:space="0"/>
              <w:right w:val="single" w:color="0D1348" w:sz="3" w:space="0"/>
            </w:tcBorders>
          </w:tcPr>
          <w:p w:rsidR="004B4035" w:rsidRDefault="00A745FD" w14:paraId="311CF591" w14:textId="77777777">
            <w:pPr>
              <w:spacing w:after="0" w:line="259" w:lineRule="auto"/>
              <w:ind w:left="4" w:firstLine="0"/>
            </w:pPr>
            <w:r>
              <w:rPr>
                <w:color w:val="1A171C"/>
              </w:rPr>
              <w:t>Financial risks</w:t>
            </w:r>
            <w:r>
              <w:t xml:space="preserve"> </w:t>
            </w:r>
          </w:p>
        </w:tc>
        <w:tc>
          <w:tcPr>
            <w:tcW w:w="6914" w:type="dxa"/>
            <w:tcBorders>
              <w:top w:val="single" w:color="0D1348" w:sz="3" w:space="0"/>
              <w:left w:val="single" w:color="0D1348" w:sz="3" w:space="0"/>
              <w:bottom w:val="single" w:color="0D1348" w:sz="3" w:space="0"/>
              <w:right w:val="single" w:color="0D1348" w:sz="3" w:space="0"/>
            </w:tcBorders>
          </w:tcPr>
          <w:p w:rsidR="004B4035" w:rsidRDefault="00A745FD" w14:paraId="3F05979E" w14:textId="77777777">
            <w:pPr>
              <w:numPr>
                <w:ilvl w:val="0"/>
                <w:numId w:val="8"/>
              </w:numPr>
              <w:spacing w:after="0" w:line="259" w:lineRule="auto"/>
              <w:ind w:hanging="172"/>
            </w:pPr>
            <w:r>
              <w:rPr>
                <w:color w:val="1A171C"/>
              </w:rPr>
              <w:t>inaccurate and/or insufficient financial information</w:t>
            </w:r>
            <w:r>
              <w:t xml:space="preserve"> </w:t>
            </w:r>
          </w:p>
          <w:p w:rsidR="004B4035" w:rsidRDefault="00A745FD" w14:paraId="54964E02" w14:textId="77777777">
            <w:pPr>
              <w:numPr>
                <w:ilvl w:val="0"/>
                <w:numId w:val="8"/>
              </w:numPr>
              <w:spacing w:after="0" w:line="259" w:lineRule="auto"/>
              <w:ind w:hanging="172"/>
            </w:pPr>
            <w:r>
              <w:rPr>
                <w:color w:val="1A171C"/>
              </w:rPr>
              <w:t>inadequate reserves and cash flow</w:t>
            </w:r>
            <w:r>
              <w:t xml:space="preserve"> </w:t>
            </w:r>
          </w:p>
          <w:p w:rsidR="004B4035" w:rsidRDefault="00A745FD" w14:paraId="253B72C0" w14:textId="77777777">
            <w:pPr>
              <w:numPr>
                <w:ilvl w:val="0"/>
                <w:numId w:val="8"/>
              </w:numPr>
              <w:spacing w:after="0" w:line="259" w:lineRule="auto"/>
              <w:ind w:hanging="172"/>
            </w:pPr>
            <w:r>
              <w:rPr>
                <w:color w:val="1A171C"/>
              </w:rPr>
              <w:t xml:space="preserve">partner programme financial management </w:t>
            </w:r>
            <w:r>
              <w:t xml:space="preserve"> </w:t>
            </w:r>
          </w:p>
          <w:p w:rsidR="004B4035" w:rsidRDefault="00A745FD" w14:paraId="74AE0949" w14:textId="77777777">
            <w:pPr>
              <w:numPr>
                <w:ilvl w:val="0"/>
                <w:numId w:val="8"/>
              </w:numPr>
              <w:spacing w:after="0" w:line="259" w:lineRule="auto"/>
              <w:ind w:hanging="172"/>
            </w:pPr>
            <w:r>
              <w:rPr>
                <w:color w:val="1A171C"/>
              </w:rPr>
              <w:t>dependency on limited income sources</w:t>
            </w:r>
            <w:r>
              <w:t xml:space="preserve"> </w:t>
            </w:r>
          </w:p>
          <w:p w:rsidR="004B4035" w:rsidRDefault="00A745FD" w14:paraId="53A7380B" w14:textId="77777777">
            <w:pPr>
              <w:numPr>
                <w:ilvl w:val="0"/>
                <w:numId w:val="8"/>
              </w:numPr>
              <w:spacing w:after="0" w:line="259" w:lineRule="auto"/>
              <w:ind w:hanging="172"/>
            </w:pPr>
            <w:r>
              <w:rPr>
                <w:color w:val="1A171C"/>
              </w:rPr>
              <w:t>insufficient insurance cover</w:t>
            </w:r>
            <w:r>
              <w:t xml:space="preserve"> </w:t>
            </w:r>
          </w:p>
        </w:tc>
      </w:tr>
      <w:tr w:rsidR="004B4035" w14:paraId="5ACDFD60" w14:textId="77777777">
        <w:trPr>
          <w:trHeight w:val="1592"/>
        </w:trPr>
        <w:tc>
          <w:tcPr>
            <w:tcW w:w="2714" w:type="dxa"/>
            <w:tcBorders>
              <w:top w:val="single" w:color="0D1348" w:sz="3" w:space="0"/>
              <w:left w:val="single" w:color="0D1348" w:sz="3" w:space="0"/>
              <w:bottom w:val="single" w:color="0D1348" w:sz="3" w:space="0"/>
              <w:right w:val="single" w:color="0D1348" w:sz="3" w:space="0"/>
            </w:tcBorders>
          </w:tcPr>
          <w:p w:rsidR="004B4035" w:rsidRDefault="00A745FD" w14:paraId="035AE27C" w14:textId="77777777">
            <w:pPr>
              <w:spacing w:after="0" w:line="259" w:lineRule="auto"/>
              <w:ind w:left="4" w:firstLine="0"/>
            </w:pPr>
            <w:r>
              <w:rPr>
                <w:color w:val="1A171C"/>
              </w:rPr>
              <w:t>External risks</w:t>
            </w:r>
            <w:r>
              <w:t xml:space="preserve"> </w:t>
            </w:r>
          </w:p>
        </w:tc>
        <w:tc>
          <w:tcPr>
            <w:tcW w:w="6914" w:type="dxa"/>
            <w:tcBorders>
              <w:top w:val="single" w:color="0D1348" w:sz="3" w:space="0"/>
              <w:left w:val="single" w:color="0D1348" w:sz="3" w:space="0"/>
              <w:bottom w:val="single" w:color="0D1348" w:sz="3" w:space="0"/>
              <w:right w:val="single" w:color="0D1348" w:sz="3" w:space="0"/>
            </w:tcBorders>
          </w:tcPr>
          <w:p w:rsidR="004B4035" w:rsidRDefault="00A745FD" w14:paraId="50AF5A48" w14:textId="77777777">
            <w:pPr>
              <w:numPr>
                <w:ilvl w:val="0"/>
                <w:numId w:val="9"/>
              </w:numPr>
              <w:spacing w:after="0" w:line="259" w:lineRule="auto"/>
              <w:ind w:hanging="172"/>
            </w:pPr>
            <w:r>
              <w:rPr>
                <w:color w:val="1A171C"/>
              </w:rPr>
              <w:t>poor public perception and reputation</w:t>
            </w:r>
            <w:r>
              <w:t xml:space="preserve"> </w:t>
            </w:r>
          </w:p>
          <w:p w:rsidR="004B4035" w:rsidRDefault="00A745FD" w14:paraId="72274E93" w14:textId="77777777">
            <w:pPr>
              <w:numPr>
                <w:ilvl w:val="0"/>
                <w:numId w:val="9"/>
              </w:numPr>
              <w:spacing w:after="1" w:line="240" w:lineRule="auto"/>
              <w:ind w:hanging="172"/>
            </w:pPr>
            <w:r>
              <w:rPr>
                <w:color w:val="1A171C"/>
              </w:rPr>
              <w:t>demographic changes such as an increase in the size of</w:t>
            </w:r>
            <w:r>
              <w:t xml:space="preserve"> </w:t>
            </w:r>
            <w:r>
              <w:rPr>
                <w:color w:val="1A171C"/>
              </w:rPr>
              <w:t>beneficiary group</w:t>
            </w:r>
            <w:r>
              <w:t xml:space="preserve"> </w:t>
            </w:r>
          </w:p>
          <w:p w:rsidR="004B4035" w:rsidRDefault="00A745FD" w14:paraId="68FE561C" w14:textId="77777777">
            <w:pPr>
              <w:numPr>
                <w:ilvl w:val="0"/>
                <w:numId w:val="9"/>
              </w:numPr>
              <w:spacing w:after="0" w:line="259" w:lineRule="auto"/>
              <w:ind w:hanging="172"/>
            </w:pPr>
            <w:r>
              <w:rPr>
                <w:color w:val="1A171C"/>
              </w:rPr>
              <w:t>turbulent economic or political environment</w:t>
            </w:r>
            <w:r>
              <w:t xml:space="preserve"> </w:t>
            </w:r>
          </w:p>
          <w:p w:rsidR="004B4035" w:rsidRDefault="00A745FD" w14:paraId="003A61FE" w14:textId="77777777">
            <w:pPr>
              <w:numPr>
                <w:ilvl w:val="0"/>
                <w:numId w:val="9"/>
              </w:numPr>
              <w:spacing w:after="0" w:line="259" w:lineRule="auto"/>
              <w:ind w:hanging="172"/>
            </w:pPr>
            <w:r>
              <w:rPr>
                <w:color w:val="1A171C"/>
              </w:rPr>
              <w:t>changing government policy</w:t>
            </w:r>
            <w:r>
              <w:t xml:space="preserve"> </w:t>
            </w:r>
          </w:p>
        </w:tc>
      </w:tr>
      <w:tr w:rsidR="004B4035" w14:paraId="38620AE6" w14:textId="77777777">
        <w:trPr>
          <w:trHeight w:val="1233"/>
        </w:trPr>
        <w:tc>
          <w:tcPr>
            <w:tcW w:w="2714" w:type="dxa"/>
            <w:tcBorders>
              <w:top w:val="single" w:color="0D1348" w:sz="3" w:space="0"/>
              <w:left w:val="single" w:color="0D1348" w:sz="3" w:space="0"/>
              <w:bottom w:val="single" w:color="0D1348" w:sz="3" w:space="0"/>
              <w:right w:val="single" w:color="0D1348" w:sz="3" w:space="0"/>
            </w:tcBorders>
          </w:tcPr>
          <w:p w:rsidR="004B4035" w:rsidRDefault="00A745FD" w14:paraId="2B7E3D3F" w14:textId="77777777">
            <w:pPr>
              <w:spacing w:after="0" w:line="259" w:lineRule="auto"/>
              <w:ind w:left="4" w:firstLine="0"/>
              <w:jc w:val="both"/>
            </w:pPr>
            <w:r>
              <w:rPr>
                <w:color w:val="1A171C"/>
              </w:rPr>
              <w:t>Compliance with law and regulation</w:t>
            </w:r>
            <w:r>
              <w:t xml:space="preserve"> </w:t>
            </w:r>
          </w:p>
        </w:tc>
        <w:tc>
          <w:tcPr>
            <w:tcW w:w="6914" w:type="dxa"/>
            <w:tcBorders>
              <w:top w:val="single" w:color="0D1348" w:sz="3" w:space="0"/>
              <w:left w:val="single" w:color="0D1348" w:sz="3" w:space="0"/>
              <w:bottom w:val="single" w:color="0D1348" w:sz="3" w:space="0"/>
              <w:right w:val="single" w:color="0D1348" w:sz="3" w:space="0"/>
            </w:tcBorders>
          </w:tcPr>
          <w:p w:rsidR="004B4035" w:rsidRDefault="00A745FD" w14:paraId="250054EF" w14:textId="77777777">
            <w:pPr>
              <w:numPr>
                <w:ilvl w:val="0"/>
                <w:numId w:val="10"/>
              </w:numPr>
              <w:spacing w:after="0" w:line="259" w:lineRule="auto"/>
              <w:ind w:hanging="172"/>
            </w:pPr>
            <w:r>
              <w:rPr>
                <w:color w:val="1A171C"/>
              </w:rPr>
              <w:t>acting in breach of trust</w:t>
            </w:r>
            <w:r>
              <w:t xml:space="preserve"> </w:t>
            </w:r>
          </w:p>
          <w:p w:rsidR="004B4035" w:rsidRDefault="00A745FD" w14:paraId="18C70D66" w14:textId="77777777">
            <w:pPr>
              <w:numPr>
                <w:ilvl w:val="0"/>
                <w:numId w:val="10"/>
              </w:numPr>
              <w:spacing w:after="0" w:line="259" w:lineRule="auto"/>
              <w:ind w:hanging="172"/>
            </w:pPr>
            <w:r>
              <w:rPr>
                <w:color w:val="1A171C"/>
              </w:rPr>
              <w:t>poor knowledge of the legal responsibilities of an employer</w:t>
            </w:r>
            <w:r>
              <w:t xml:space="preserve"> </w:t>
            </w:r>
          </w:p>
          <w:p w:rsidR="004B4035" w:rsidRDefault="00A745FD" w14:paraId="2759BADA" w14:textId="77777777">
            <w:pPr>
              <w:numPr>
                <w:ilvl w:val="0"/>
                <w:numId w:val="10"/>
              </w:numPr>
              <w:spacing w:after="0" w:line="259" w:lineRule="auto"/>
              <w:ind w:hanging="172"/>
            </w:pPr>
            <w:r>
              <w:rPr>
                <w:color w:val="1A171C"/>
              </w:rPr>
              <w:t>poor knowledge of regulatory requirements of particular activities (e.g., fund-raising)</w:t>
            </w:r>
            <w:r>
              <w:t xml:space="preserve"> </w:t>
            </w:r>
          </w:p>
        </w:tc>
      </w:tr>
    </w:tbl>
    <w:p w:rsidR="004B4035" w:rsidRDefault="00A745FD" w14:paraId="2448DAE5" w14:textId="77777777">
      <w:pPr>
        <w:spacing w:after="199" w:line="259" w:lineRule="auto"/>
        <w:ind w:left="0" w:firstLine="0"/>
      </w:pPr>
      <w:r>
        <w:rPr>
          <w:sz w:val="22"/>
        </w:rPr>
        <w:t xml:space="preserve"> </w:t>
      </w:r>
    </w:p>
    <w:p w:rsidR="004B4035" w:rsidRDefault="00A745FD" w14:paraId="1A0245A8" w14:textId="77777777">
      <w:pPr>
        <w:spacing w:after="174" w:line="268" w:lineRule="auto"/>
        <w:ind w:left="-5"/>
      </w:pPr>
      <w:r>
        <w:t xml:space="preserve">The tables (impact and likelihood) below show how risk is assessed. This allows FSSUK to weigh the nature of the risk and its impact alongside the likelihood of occurrence.  FSSUK gives </w:t>
      </w:r>
      <w:r>
        <w:t xml:space="preserve">attention to the high impact risks but also notes that a series of low impact risk events could have a greater cumulative impact.  </w:t>
      </w:r>
    </w:p>
    <w:p w:rsidR="004B4035" w:rsidRDefault="00A745FD" w14:paraId="6436F5ED" w14:textId="77777777">
      <w:pPr>
        <w:spacing w:after="0" w:line="259" w:lineRule="auto"/>
        <w:ind w:left="360" w:firstLine="0"/>
      </w:pPr>
      <w:r>
        <w:rPr>
          <w:rFonts w:ascii="Calibri" w:hAnsi="Calibri" w:eastAsia="Calibri" w:cs="Calibri"/>
        </w:rPr>
        <w:t xml:space="preserve"> </w:t>
      </w:r>
    </w:p>
    <w:p w:rsidR="004B4035" w:rsidRDefault="00A745FD" w14:paraId="2B857245" w14:textId="77777777">
      <w:pPr>
        <w:spacing w:after="103" w:line="259" w:lineRule="auto"/>
        <w:ind w:left="-5"/>
      </w:pPr>
      <w:r>
        <w:rPr>
          <w:b/>
        </w:rPr>
        <w:t xml:space="preserve">Impact </w:t>
      </w:r>
    </w:p>
    <w:p w:rsidR="004B4035" w:rsidRDefault="00A745FD" w14:paraId="397D8D7E" w14:textId="77777777">
      <w:pPr>
        <w:spacing w:after="116" w:line="259" w:lineRule="auto"/>
        <w:ind w:left="0" w:right="467" w:firstLine="0"/>
        <w:jc w:val="right"/>
      </w:pPr>
      <w:r>
        <w:rPr>
          <w:noProof/>
        </w:rPr>
        <w:drawing>
          <wp:inline distT="0" distB="0" distL="0" distR="0" wp14:anchorId="5ECF5C82" wp14:editId="541CD9B7">
            <wp:extent cx="5657850" cy="5438776"/>
            <wp:effectExtent l="0" t="0" r="0" b="0"/>
            <wp:docPr id="609" name="Picture 609"/>
            <wp:cNvGraphicFramePr/>
            <a:graphic xmlns:a="http://schemas.openxmlformats.org/drawingml/2006/main">
              <a:graphicData uri="http://schemas.openxmlformats.org/drawingml/2006/picture">
                <pic:pic xmlns:pic="http://schemas.openxmlformats.org/drawingml/2006/picture">
                  <pic:nvPicPr>
                    <pic:cNvPr id="609" name="Picture 609"/>
                    <pic:cNvPicPr/>
                  </pic:nvPicPr>
                  <pic:blipFill>
                    <a:blip r:embed="rId8"/>
                    <a:stretch>
                      <a:fillRect/>
                    </a:stretch>
                  </pic:blipFill>
                  <pic:spPr>
                    <a:xfrm>
                      <a:off x="0" y="0"/>
                      <a:ext cx="5657850" cy="5438776"/>
                    </a:xfrm>
                    <a:prstGeom prst="rect">
                      <a:avLst/>
                    </a:prstGeom>
                  </pic:spPr>
                </pic:pic>
              </a:graphicData>
            </a:graphic>
          </wp:inline>
        </w:drawing>
      </w:r>
      <w:r>
        <w:rPr>
          <w:rFonts w:ascii="Calibri" w:hAnsi="Calibri" w:eastAsia="Calibri" w:cs="Calibri"/>
          <w:b/>
          <w:color w:val="1A171C"/>
        </w:rPr>
        <w:t xml:space="preserve">  </w:t>
      </w:r>
      <w:r>
        <w:rPr>
          <w:rFonts w:ascii="Calibri" w:hAnsi="Calibri" w:eastAsia="Calibri" w:cs="Calibri"/>
        </w:rPr>
        <w:t xml:space="preserve"> </w:t>
      </w:r>
    </w:p>
    <w:p w:rsidR="00A745FD" w:rsidRDefault="00A745FD" w14:paraId="30030398" w14:textId="77777777">
      <w:pPr>
        <w:spacing w:after="0" w:line="259" w:lineRule="auto"/>
        <w:ind w:left="0" w:firstLine="0"/>
        <w:rPr>
          <w:b/>
          <w:color w:val="1A171C"/>
        </w:rPr>
      </w:pPr>
    </w:p>
    <w:p w:rsidR="00A745FD" w:rsidRDefault="00A745FD" w14:paraId="65CC138A" w14:textId="77777777">
      <w:pPr>
        <w:spacing w:after="0" w:line="259" w:lineRule="auto"/>
        <w:ind w:left="0" w:firstLine="0"/>
        <w:rPr>
          <w:b/>
          <w:color w:val="1A171C"/>
        </w:rPr>
      </w:pPr>
    </w:p>
    <w:p w:rsidR="00A745FD" w:rsidRDefault="00A745FD" w14:paraId="35F98921" w14:textId="77777777">
      <w:pPr>
        <w:spacing w:after="0" w:line="259" w:lineRule="auto"/>
        <w:ind w:left="0" w:firstLine="0"/>
        <w:rPr>
          <w:b/>
          <w:color w:val="1A171C"/>
        </w:rPr>
      </w:pPr>
    </w:p>
    <w:p w:rsidR="00A745FD" w:rsidRDefault="00A745FD" w14:paraId="641F45FC" w14:textId="77777777">
      <w:pPr>
        <w:spacing w:after="0" w:line="259" w:lineRule="auto"/>
        <w:ind w:left="0" w:firstLine="0"/>
        <w:rPr>
          <w:b/>
          <w:color w:val="1A171C"/>
        </w:rPr>
      </w:pPr>
    </w:p>
    <w:p w:rsidR="00A745FD" w:rsidRDefault="00A745FD" w14:paraId="2D33DEAC" w14:textId="77777777">
      <w:pPr>
        <w:spacing w:after="0" w:line="259" w:lineRule="auto"/>
        <w:ind w:left="0" w:firstLine="0"/>
        <w:rPr>
          <w:b/>
          <w:color w:val="1A171C"/>
        </w:rPr>
      </w:pPr>
    </w:p>
    <w:p w:rsidR="00A745FD" w:rsidRDefault="00A745FD" w14:paraId="1DA079EA" w14:textId="77777777">
      <w:pPr>
        <w:spacing w:after="0" w:line="259" w:lineRule="auto"/>
        <w:ind w:left="0" w:firstLine="0"/>
        <w:rPr>
          <w:b/>
          <w:color w:val="1A171C"/>
        </w:rPr>
      </w:pPr>
    </w:p>
    <w:p w:rsidR="00A745FD" w:rsidRDefault="00A745FD" w14:paraId="18020369" w14:textId="77777777">
      <w:pPr>
        <w:spacing w:after="0" w:line="259" w:lineRule="auto"/>
        <w:ind w:left="0" w:firstLine="0"/>
        <w:rPr>
          <w:b/>
          <w:color w:val="1A171C"/>
        </w:rPr>
      </w:pPr>
    </w:p>
    <w:p w:rsidR="00A745FD" w:rsidRDefault="00A745FD" w14:paraId="3E8DA124" w14:textId="77777777">
      <w:pPr>
        <w:spacing w:after="0" w:line="259" w:lineRule="auto"/>
        <w:ind w:left="0" w:firstLine="0"/>
        <w:rPr>
          <w:b/>
          <w:color w:val="1A171C"/>
        </w:rPr>
      </w:pPr>
    </w:p>
    <w:p w:rsidR="00A745FD" w:rsidRDefault="00A745FD" w14:paraId="743CDF36" w14:textId="77777777">
      <w:pPr>
        <w:spacing w:after="0" w:line="259" w:lineRule="auto"/>
        <w:ind w:left="0" w:firstLine="0"/>
        <w:rPr>
          <w:b/>
          <w:color w:val="1A171C"/>
        </w:rPr>
      </w:pPr>
    </w:p>
    <w:p w:rsidR="00A745FD" w:rsidP="0D4EAA4F" w:rsidRDefault="00A745FD" w14:paraId="2504A633" w14:textId="77777777">
      <w:pPr>
        <w:spacing w:after="0" w:line="259" w:lineRule="auto"/>
        <w:ind w:left="0" w:firstLine="0"/>
        <w:rPr>
          <w:b w:val="1"/>
          <w:bCs w:val="1"/>
          <w:color w:val="1A171C"/>
        </w:rPr>
      </w:pPr>
    </w:p>
    <w:p w:rsidR="0D4EAA4F" w:rsidP="0D4EAA4F" w:rsidRDefault="0D4EAA4F" w14:paraId="4B8C0FC2" w14:textId="76F0C979">
      <w:pPr>
        <w:spacing w:after="0" w:line="259" w:lineRule="auto"/>
        <w:ind w:left="0" w:firstLine="0"/>
        <w:rPr>
          <w:b w:val="1"/>
          <w:bCs w:val="1"/>
          <w:color w:val="1A171C"/>
        </w:rPr>
      </w:pPr>
    </w:p>
    <w:p w:rsidR="0D4EAA4F" w:rsidP="0D4EAA4F" w:rsidRDefault="0D4EAA4F" w14:paraId="64ADDB30" w14:textId="5DD32E54">
      <w:pPr>
        <w:spacing w:after="0" w:line="259" w:lineRule="auto"/>
        <w:ind w:left="0" w:firstLine="0"/>
        <w:rPr>
          <w:b w:val="1"/>
          <w:bCs w:val="1"/>
          <w:color w:val="1A171C"/>
        </w:rPr>
      </w:pPr>
    </w:p>
    <w:p w:rsidR="0D4EAA4F" w:rsidP="0D4EAA4F" w:rsidRDefault="0D4EAA4F" w14:paraId="6AD56571" w14:textId="33F2F016">
      <w:pPr>
        <w:spacing w:after="0" w:line="259" w:lineRule="auto"/>
        <w:ind w:left="0" w:firstLine="0"/>
        <w:rPr>
          <w:b w:val="1"/>
          <w:bCs w:val="1"/>
          <w:color w:val="1A171C"/>
        </w:rPr>
      </w:pPr>
    </w:p>
    <w:p w:rsidR="0D4EAA4F" w:rsidP="0D4EAA4F" w:rsidRDefault="0D4EAA4F" w14:paraId="3B8948E7" w14:textId="473A1D19">
      <w:pPr>
        <w:spacing w:after="0" w:line="259" w:lineRule="auto"/>
        <w:ind w:left="0" w:firstLine="0"/>
        <w:rPr>
          <w:b w:val="1"/>
          <w:bCs w:val="1"/>
          <w:color w:val="1A171C"/>
        </w:rPr>
      </w:pPr>
    </w:p>
    <w:p w:rsidR="0D4EAA4F" w:rsidP="0D4EAA4F" w:rsidRDefault="0D4EAA4F" w14:paraId="073B2B16" w14:textId="766E7415">
      <w:pPr>
        <w:spacing w:after="0" w:line="259" w:lineRule="auto"/>
        <w:ind w:left="0" w:firstLine="0"/>
        <w:rPr>
          <w:b w:val="1"/>
          <w:bCs w:val="1"/>
          <w:color w:val="1A171C"/>
        </w:rPr>
      </w:pPr>
    </w:p>
    <w:p w:rsidR="00A745FD" w:rsidRDefault="00A745FD" w14:paraId="50CC197D" w14:textId="77777777">
      <w:pPr>
        <w:spacing w:after="0" w:line="259" w:lineRule="auto"/>
        <w:ind w:left="0" w:firstLine="0"/>
        <w:rPr>
          <w:b/>
          <w:color w:val="1A171C"/>
        </w:rPr>
      </w:pPr>
    </w:p>
    <w:p w:rsidR="004B4035" w:rsidRDefault="00A745FD" w14:paraId="20A9FF1B" w14:textId="3E68AD46">
      <w:pPr>
        <w:spacing w:after="0" w:line="259" w:lineRule="auto"/>
        <w:ind w:left="0" w:firstLine="0"/>
      </w:pPr>
      <w:r>
        <w:rPr>
          <w:b/>
          <w:color w:val="1A171C"/>
        </w:rPr>
        <w:t xml:space="preserve">Likelihood </w:t>
      </w:r>
    </w:p>
    <w:p w:rsidR="004B4035" w:rsidRDefault="00A745FD" w14:paraId="34AC6A9A" w14:textId="77777777">
      <w:pPr>
        <w:spacing w:after="0" w:line="259" w:lineRule="auto"/>
        <w:ind w:left="0" w:right="840" w:firstLine="0"/>
      </w:pPr>
      <w:r>
        <w:t xml:space="preserve"> </w:t>
      </w:r>
    </w:p>
    <w:p w:rsidR="004B4035" w:rsidRDefault="00A745FD" w14:paraId="55826DD6" w14:textId="77777777">
      <w:pPr>
        <w:spacing w:after="0" w:line="259" w:lineRule="auto"/>
        <w:ind w:left="0" w:right="757" w:firstLine="0"/>
        <w:jc w:val="right"/>
      </w:pPr>
      <w:r>
        <w:rPr>
          <w:noProof/>
        </w:rPr>
        <w:drawing>
          <wp:inline distT="0" distB="0" distL="0" distR="0" wp14:anchorId="71D9304C" wp14:editId="341EC640">
            <wp:extent cx="5382260" cy="2210435"/>
            <wp:effectExtent l="0" t="0" r="0" b="0"/>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9"/>
                    <a:stretch>
                      <a:fillRect/>
                    </a:stretch>
                  </pic:blipFill>
                  <pic:spPr>
                    <a:xfrm>
                      <a:off x="0" y="0"/>
                      <a:ext cx="5382260" cy="2210435"/>
                    </a:xfrm>
                    <a:prstGeom prst="rect">
                      <a:avLst/>
                    </a:prstGeom>
                  </pic:spPr>
                </pic:pic>
              </a:graphicData>
            </a:graphic>
          </wp:inline>
        </w:drawing>
      </w:r>
      <w:r>
        <w:rPr>
          <w:b/>
        </w:rPr>
        <w:t xml:space="preserve"> </w:t>
      </w:r>
    </w:p>
    <w:p w:rsidR="004B4035" w:rsidRDefault="00A745FD" w14:paraId="07BC870F" w14:textId="77777777">
      <w:pPr>
        <w:spacing w:after="182" w:line="259" w:lineRule="auto"/>
        <w:ind w:left="-5"/>
      </w:pPr>
      <w:r>
        <w:rPr>
          <w:b/>
        </w:rPr>
        <w:t xml:space="preserve">Calculating the initial risk score </w:t>
      </w:r>
    </w:p>
    <w:p w:rsidR="004B4035" w:rsidRDefault="00A745FD" w14:paraId="6695F588" w14:textId="77777777">
      <w:pPr>
        <w:spacing w:after="227" w:line="268" w:lineRule="auto"/>
        <w:ind w:left="-5"/>
      </w:pPr>
      <w:r>
        <w:t xml:space="preserve">The initial risk score is calculated by multiplying the likelihood score by the impact score. For example, a risk with a likelihood of 2 and an impact of 3 would have a score of 6 (2 x 3). </w:t>
      </w:r>
    </w:p>
    <w:tbl>
      <w:tblPr>
        <w:tblStyle w:val="TableGrid"/>
        <w:tblW w:w="10175" w:type="dxa"/>
        <w:tblInd w:w="0" w:type="dxa"/>
        <w:tblCellMar>
          <w:top w:w="52" w:type="dxa"/>
          <w:right w:w="115" w:type="dxa"/>
        </w:tblCellMar>
        <w:tblLook w:val="04A0" w:firstRow="1" w:lastRow="0" w:firstColumn="1" w:lastColumn="0" w:noHBand="0" w:noVBand="1"/>
      </w:tblPr>
      <w:tblGrid>
        <w:gridCol w:w="2757"/>
        <w:gridCol w:w="1901"/>
        <w:gridCol w:w="5517"/>
      </w:tblGrid>
      <w:tr w:rsidR="004B4035" w14:paraId="3FB4BEDC" w14:textId="77777777">
        <w:trPr>
          <w:trHeight w:val="1057"/>
        </w:trPr>
        <w:tc>
          <w:tcPr>
            <w:tcW w:w="2757" w:type="dxa"/>
            <w:tcBorders>
              <w:top w:val="single" w:color="FFFFFF" w:sz="2" w:space="0"/>
              <w:left w:val="nil"/>
              <w:bottom w:val="single" w:color="FFFFFF" w:sz="2" w:space="0"/>
              <w:right w:val="nil"/>
            </w:tcBorders>
          </w:tcPr>
          <w:p w:rsidR="004B4035" w:rsidRDefault="00A745FD" w14:paraId="21F94D42" w14:textId="77777777">
            <w:pPr>
              <w:spacing w:after="0" w:line="259" w:lineRule="auto"/>
              <w:ind w:left="940" w:right="119" w:hanging="240"/>
            </w:pPr>
            <w:r>
              <w:rPr>
                <w:b/>
                <w:color w:val="51296A"/>
              </w:rPr>
              <w:t xml:space="preserve">Initial risk score </w:t>
            </w:r>
          </w:p>
        </w:tc>
        <w:tc>
          <w:tcPr>
            <w:tcW w:w="1901" w:type="dxa"/>
            <w:tcBorders>
              <w:top w:val="single" w:color="FFFFFF" w:sz="2" w:space="0"/>
              <w:left w:val="nil"/>
              <w:bottom w:val="single" w:color="FFFFFF" w:sz="2" w:space="0"/>
              <w:right w:val="nil"/>
            </w:tcBorders>
          </w:tcPr>
          <w:p w:rsidR="004B4035" w:rsidRDefault="00A745FD" w14:paraId="74159133" w14:textId="77777777">
            <w:pPr>
              <w:spacing w:after="0" w:line="259" w:lineRule="auto"/>
              <w:ind w:left="309" w:firstLine="0"/>
            </w:pPr>
            <w:r>
              <w:rPr>
                <w:b/>
                <w:color w:val="51296A"/>
              </w:rPr>
              <w:t xml:space="preserve">Level </w:t>
            </w:r>
          </w:p>
        </w:tc>
        <w:tc>
          <w:tcPr>
            <w:tcW w:w="5518" w:type="dxa"/>
            <w:tcBorders>
              <w:top w:val="single" w:color="FFFFFF" w:sz="2" w:space="0"/>
              <w:left w:val="nil"/>
              <w:bottom w:val="single" w:color="FFFFFF" w:sz="2" w:space="0"/>
              <w:right w:val="nil"/>
            </w:tcBorders>
          </w:tcPr>
          <w:p w:rsidR="004B4035" w:rsidRDefault="00A745FD" w14:paraId="7A704284" w14:textId="77777777">
            <w:pPr>
              <w:spacing w:after="0" w:line="259" w:lineRule="auto"/>
              <w:ind w:left="0" w:right="136" w:firstLine="0"/>
              <w:jc w:val="center"/>
            </w:pPr>
            <w:r>
              <w:rPr>
                <w:b/>
                <w:color w:val="51296A"/>
              </w:rPr>
              <w:t xml:space="preserve">Action level </w:t>
            </w:r>
          </w:p>
        </w:tc>
      </w:tr>
      <w:tr w:rsidR="004B4035" w14:paraId="55AC3565" w14:textId="77777777">
        <w:trPr>
          <w:trHeight w:val="572"/>
        </w:trPr>
        <w:tc>
          <w:tcPr>
            <w:tcW w:w="2757" w:type="dxa"/>
            <w:tcBorders>
              <w:top w:val="single" w:color="FFFFFF" w:sz="2" w:space="0"/>
              <w:left w:val="nil"/>
              <w:bottom w:val="single" w:color="FFFFFF" w:sz="2" w:space="0"/>
              <w:right w:val="nil"/>
            </w:tcBorders>
          </w:tcPr>
          <w:p w:rsidR="004B4035" w:rsidRDefault="00A745FD" w14:paraId="140ACFF9" w14:textId="77777777">
            <w:pPr>
              <w:spacing w:after="0" w:line="259" w:lineRule="auto"/>
              <w:ind w:left="428" w:firstLine="0"/>
            </w:pPr>
            <w:r>
              <w:t xml:space="preserve">        1–8 </w:t>
            </w:r>
          </w:p>
        </w:tc>
        <w:tc>
          <w:tcPr>
            <w:tcW w:w="1901" w:type="dxa"/>
            <w:tcBorders>
              <w:top w:val="single" w:color="FFFFFF" w:sz="2" w:space="0"/>
              <w:left w:val="nil"/>
              <w:bottom w:val="single" w:color="FFFFFF" w:sz="2" w:space="0"/>
              <w:right w:val="nil"/>
            </w:tcBorders>
          </w:tcPr>
          <w:p w:rsidR="004B4035" w:rsidRDefault="00A745FD" w14:paraId="7DD932F5" w14:textId="77777777">
            <w:pPr>
              <w:spacing w:after="0" w:line="259" w:lineRule="auto"/>
              <w:ind w:left="0" w:firstLine="0"/>
            </w:pPr>
            <w:r>
              <w:t xml:space="preserve">Low risk </w:t>
            </w:r>
          </w:p>
        </w:tc>
        <w:tc>
          <w:tcPr>
            <w:tcW w:w="5518" w:type="dxa"/>
            <w:tcBorders>
              <w:top w:val="single" w:color="FFFFFF" w:sz="2" w:space="0"/>
              <w:left w:val="nil"/>
              <w:bottom w:val="single" w:color="FFFFFF" w:sz="2" w:space="0"/>
              <w:right w:val="nil"/>
            </w:tcBorders>
          </w:tcPr>
          <w:p w:rsidR="004B4035" w:rsidRDefault="00A745FD" w14:paraId="1084E75B" w14:textId="77777777">
            <w:pPr>
              <w:spacing w:after="0" w:line="259" w:lineRule="auto"/>
              <w:ind w:left="0" w:firstLine="0"/>
            </w:pPr>
            <w:r>
              <w:t xml:space="preserve">Accept risk. To be managed at the activity level. </w:t>
            </w:r>
          </w:p>
        </w:tc>
      </w:tr>
      <w:tr w:rsidR="004B4035" w14:paraId="315CE612" w14:textId="77777777">
        <w:trPr>
          <w:trHeight w:val="896"/>
        </w:trPr>
        <w:tc>
          <w:tcPr>
            <w:tcW w:w="2757" w:type="dxa"/>
            <w:tcBorders>
              <w:top w:val="single" w:color="FFFFFF" w:sz="2" w:space="0"/>
              <w:left w:val="nil"/>
              <w:bottom w:val="single" w:color="FFFFFF" w:sz="2" w:space="0"/>
              <w:right w:val="nil"/>
            </w:tcBorders>
          </w:tcPr>
          <w:p w:rsidR="004B4035" w:rsidRDefault="00A745FD" w14:paraId="4A894B64" w14:textId="77777777">
            <w:pPr>
              <w:spacing w:after="0" w:line="259" w:lineRule="auto"/>
              <w:ind w:left="428" w:firstLine="0"/>
            </w:pPr>
            <w:r>
              <w:t xml:space="preserve">       9–16 </w:t>
            </w:r>
          </w:p>
        </w:tc>
        <w:tc>
          <w:tcPr>
            <w:tcW w:w="1901" w:type="dxa"/>
            <w:tcBorders>
              <w:top w:val="single" w:color="FFFFFF" w:sz="2" w:space="0"/>
              <w:left w:val="nil"/>
              <w:bottom w:val="single" w:color="FFFFFF" w:sz="2" w:space="0"/>
              <w:right w:val="nil"/>
            </w:tcBorders>
          </w:tcPr>
          <w:p w:rsidR="004B4035" w:rsidRDefault="00A745FD" w14:paraId="101E2428" w14:textId="77777777">
            <w:pPr>
              <w:spacing w:after="22" w:line="259" w:lineRule="auto"/>
              <w:ind w:left="0" w:firstLine="0"/>
            </w:pPr>
            <w:r>
              <w:t xml:space="preserve">Medium </w:t>
            </w:r>
          </w:p>
          <w:p w:rsidR="004B4035" w:rsidRDefault="00A745FD" w14:paraId="6F5DCA6D" w14:textId="77777777">
            <w:pPr>
              <w:spacing w:after="0" w:line="259" w:lineRule="auto"/>
              <w:ind w:left="0" w:firstLine="0"/>
            </w:pPr>
            <w:r>
              <w:t xml:space="preserve">risk </w:t>
            </w:r>
          </w:p>
        </w:tc>
        <w:tc>
          <w:tcPr>
            <w:tcW w:w="5518" w:type="dxa"/>
            <w:tcBorders>
              <w:top w:val="single" w:color="FFFFFF" w:sz="2" w:space="0"/>
              <w:left w:val="nil"/>
              <w:bottom w:val="single" w:color="FFFFFF" w:sz="2" w:space="0"/>
              <w:right w:val="nil"/>
            </w:tcBorders>
          </w:tcPr>
          <w:p w:rsidR="004B4035" w:rsidRDefault="00A745FD" w14:paraId="7C2BA4C4" w14:textId="77777777">
            <w:pPr>
              <w:spacing w:after="0" w:line="259" w:lineRule="auto"/>
              <w:ind w:left="0" w:right="22" w:firstLine="0"/>
            </w:pPr>
            <w:r>
              <w:t xml:space="preserve">Management action required to reduce risk level to low </w:t>
            </w:r>
          </w:p>
        </w:tc>
      </w:tr>
    </w:tbl>
    <w:p w:rsidR="004B4035" w:rsidRDefault="00A745FD" w14:paraId="53F3058C" w14:textId="77777777">
      <w:pPr>
        <w:tabs>
          <w:tab w:val="center" w:pos="927"/>
          <w:tab w:val="center" w:pos="3220"/>
          <w:tab w:val="center" w:pos="7289"/>
        </w:tabs>
        <w:spacing w:after="0" w:line="259" w:lineRule="auto"/>
        <w:ind w:left="0" w:firstLine="0"/>
      </w:pPr>
      <w:r>
        <w:rPr>
          <w:rFonts w:ascii="Calibri" w:hAnsi="Calibri" w:eastAsia="Calibri" w:cs="Calibri"/>
          <w:sz w:val="22"/>
        </w:rPr>
        <w:tab/>
      </w:r>
      <w:r>
        <w:t xml:space="preserve">     17–25 </w:t>
      </w:r>
      <w:r>
        <w:tab/>
      </w:r>
      <w:r>
        <w:t xml:space="preserve">High risk </w:t>
      </w:r>
      <w:r>
        <w:tab/>
      </w:r>
      <w:r>
        <w:t xml:space="preserve">Significant risk. Board action/awareness required. </w:t>
      </w:r>
    </w:p>
    <w:p w:rsidR="004B4035" w:rsidRDefault="00A745FD" w14:paraId="2D28B0DD" w14:textId="77777777">
      <w:pPr>
        <w:spacing w:after="289" w:line="259" w:lineRule="auto"/>
        <w:ind w:left="-12" w:right="-20" w:firstLine="0"/>
      </w:pPr>
      <w:r>
        <w:rPr>
          <w:rFonts w:ascii="Calibri" w:hAnsi="Calibri" w:eastAsia="Calibri" w:cs="Calibri"/>
          <w:noProof/>
          <w:sz w:val="22"/>
        </w:rPr>
        <mc:AlternateContent>
          <mc:Choice Requires="wpg">
            <w:drawing>
              <wp:inline distT="0" distB="0" distL="0" distR="0" wp14:anchorId="1BA85BCB" wp14:editId="24D64CB8">
                <wp:extent cx="6468809" cy="7620"/>
                <wp:effectExtent l="0" t="0" r="0" b="0"/>
                <wp:docPr id="7167" name="Group 7167"/>
                <wp:cNvGraphicFramePr/>
                <a:graphic xmlns:a="http://schemas.openxmlformats.org/drawingml/2006/main">
                  <a:graphicData uri="http://schemas.microsoft.com/office/word/2010/wordprocessingGroup">
                    <wpg:wgp>
                      <wpg:cNvGrpSpPr/>
                      <wpg:grpSpPr>
                        <a:xfrm>
                          <a:off x="0" y="0"/>
                          <a:ext cx="6468809" cy="7620"/>
                          <a:chOff x="0" y="0"/>
                          <a:chExt cx="6468809" cy="7620"/>
                        </a:xfrm>
                      </wpg:grpSpPr>
                      <wps:wsp>
                        <wps:cNvPr id="8126" name="Shape 8126"/>
                        <wps:cNvSpPr/>
                        <wps:spPr>
                          <a:xfrm>
                            <a:off x="0" y="0"/>
                            <a:ext cx="1488694" cy="9144"/>
                          </a:xfrm>
                          <a:custGeom>
                            <a:avLst/>
                            <a:gdLst/>
                            <a:ahLst/>
                            <a:cxnLst/>
                            <a:rect l="0" t="0" r="0" b="0"/>
                            <a:pathLst>
                              <a:path w="1488694" h="9144">
                                <a:moveTo>
                                  <a:pt x="0" y="0"/>
                                </a:moveTo>
                                <a:lnTo>
                                  <a:pt x="1488694" y="0"/>
                                </a:lnTo>
                                <a:lnTo>
                                  <a:pt x="1488694"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8127" name="Shape 8127"/>
                        <wps:cNvSpPr/>
                        <wps:spPr>
                          <a:xfrm>
                            <a:off x="1481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8128" name="Shape 8128"/>
                        <wps:cNvSpPr/>
                        <wps:spPr>
                          <a:xfrm>
                            <a:off x="1488758" y="0"/>
                            <a:ext cx="1206817" cy="9144"/>
                          </a:xfrm>
                          <a:custGeom>
                            <a:avLst/>
                            <a:gdLst/>
                            <a:ahLst/>
                            <a:cxnLst/>
                            <a:rect l="0" t="0" r="0" b="0"/>
                            <a:pathLst>
                              <a:path w="1206817" h="9144">
                                <a:moveTo>
                                  <a:pt x="0" y="0"/>
                                </a:moveTo>
                                <a:lnTo>
                                  <a:pt x="1206817" y="0"/>
                                </a:lnTo>
                                <a:lnTo>
                                  <a:pt x="1206817"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8129" name="Shape 8129"/>
                        <wps:cNvSpPr/>
                        <wps:spPr>
                          <a:xfrm>
                            <a:off x="26880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8130" name="Shape 8130"/>
                        <wps:cNvSpPr/>
                        <wps:spPr>
                          <a:xfrm>
                            <a:off x="2695639" y="0"/>
                            <a:ext cx="3773170" cy="9144"/>
                          </a:xfrm>
                          <a:custGeom>
                            <a:avLst/>
                            <a:gdLst/>
                            <a:ahLst/>
                            <a:cxnLst/>
                            <a:rect l="0" t="0" r="0" b="0"/>
                            <a:pathLst>
                              <a:path w="3773170" h="9144">
                                <a:moveTo>
                                  <a:pt x="0" y="0"/>
                                </a:moveTo>
                                <a:lnTo>
                                  <a:pt x="3773170" y="0"/>
                                </a:lnTo>
                                <a:lnTo>
                                  <a:pt x="3773170"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inline>
            </w:drawing>
          </mc:Choice>
          <mc:Fallback xmlns:a="http://schemas.openxmlformats.org/drawingml/2006/main">
            <w:pict w14:anchorId="3EB70E9F">
              <v:group id="Group 7167" style="width:509.355pt;height:0.599976pt;mso-position-horizontal-relative:char;mso-position-vertical-relative:line" coordsize="64688,76">
                <v:shape id="Shape 8131" style="position:absolute;width:14886;height:91;left:0;top:0;" coordsize="1488694,9144" path="m0,0l1488694,0l1488694,9144l0,9144l0,0">
                  <v:stroke on="false" weight="0pt" color="#000000" opacity="0" miterlimit="10" joinstyle="miter" endcap="flat"/>
                  <v:fill on="true" color="#999999"/>
                </v:shape>
                <v:shape id="Shape 8132" style="position:absolute;width:91;height:91;left:14811;top:0;" coordsize="9144,9144" path="m0,0l9144,0l9144,9144l0,9144l0,0">
                  <v:stroke on="false" weight="0pt" color="#000000" opacity="0" miterlimit="10" joinstyle="miter" endcap="flat"/>
                  <v:fill on="true" color="#999999"/>
                </v:shape>
                <v:shape id="Shape 8133" style="position:absolute;width:12068;height:91;left:14887;top:0;" coordsize="1206817,9144" path="m0,0l1206817,0l1206817,9144l0,9144l0,0">
                  <v:stroke on="false" weight="0pt" color="#000000" opacity="0" miterlimit="10" joinstyle="miter" endcap="flat"/>
                  <v:fill on="true" color="#999999"/>
                </v:shape>
                <v:shape id="Shape 8134" style="position:absolute;width:91;height:91;left:26880;top:0;" coordsize="9144,9144" path="m0,0l9144,0l9144,9144l0,9144l0,0">
                  <v:stroke on="false" weight="0pt" color="#000000" opacity="0" miterlimit="10" joinstyle="miter" endcap="flat"/>
                  <v:fill on="true" color="#999999"/>
                </v:shape>
                <v:shape id="Shape 8135" style="position:absolute;width:37731;height:91;left:26956;top:0;" coordsize="3773170,9144" path="m0,0l3773170,0l3773170,9144l0,9144l0,0">
                  <v:stroke on="false" weight="0pt" color="#000000" opacity="0" miterlimit="10" joinstyle="miter" endcap="flat"/>
                  <v:fill on="true" color="#999999"/>
                </v:shape>
              </v:group>
            </w:pict>
          </mc:Fallback>
        </mc:AlternateContent>
      </w:r>
    </w:p>
    <w:p w:rsidR="004B4035" w:rsidRDefault="00A745FD" w14:paraId="0D15E26F" w14:textId="77777777">
      <w:pPr>
        <w:spacing w:after="22" w:line="259" w:lineRule="auto"/>
        <w:ind w:left="0" w:firstLine="0"/>
      </w:pPr>
      <w:r>
        <w:t xml:space="preserve"> </w:t>
      </w:r>
    </w:p>
    <w:p w:rsidR="004B4035" w:rsidRDefault="00A745FD" w14:paraId="1B9C6F21" w14:textId="77777777">
      <w:pPr>
        <w:pStyle w:val="Heading1"/>
        <w:ind w:left="-5"/>
      </w:pPr>
      <w:r>
        <w:t xml:space="preserve">Risk Mitigation and Management </w:t>
      </w:r>
    </w:p>
    <w:p w:rsidR="004B4035" w:rsidRDefault="00A745FD" w14:paraId="5B5FFE4F" w14:textId="77777777">
      <w:pPr>
        <w:numPr>
          <w:ilvl w:val="0"/>
          <w:numId w:val="3"/>
        </w:numPr>
        <w:ind w:hanging="360"/>
      </w:pPr>
      <w:r>
        <w:t xml:space="preserve">Strategies for risk mitigation will be developed for high-priority risks. </w:t>
      </w:r>
    </w:p>
    <w:p w:rsidR="004B4035" w:rsidRDefault="00A745FD" w14:paraId="0CABF4D1" w14:textId="77777777">
      <w:pPr>
        <w:numPr>
          <w:ilvl w:val="0"/>
          <w:numId w:val="3"/>
        </w:numPr>
        <w:ind w:hanging="360"/>
      </w:pPr>
      <w:r>
        <w:t xml:space="preserve">Mitigation plans will be assigned to responsible individuals with clear timelines. </w:t>
      </w:r>
    </w:p>
    <w:p w:rsidR="004B4035" w:rsidRDefault="00A745FD" w14:paraId="3BDBC0C8" w14:textId="77777777">
      <w:pPr>
        <w:numPr>
          <w:ilvl w:val="0"/>
          <w:numId w:val="3"/>
        </w:numPr>
        <w:spacing w:after="270"/>
        <w:ind w:hanging="360"/>
      </w:pPr>
      <w:r>
        <w:t xml:space="preserve">Regular monitoring and reporting on the progress of risk mitigation plans will be conducted. </w:t>
      </w:r>
    </w:p>
    <w:p w:rsidR="004B4035" w:rsidRDefault="00A745FD" w14:paraId="787F7DBD" w14:textId="77777777">
      <w:pPr>
        <w:pStyle w:val="Heading1"/>
        <w:ind w:left="-5"/>
      </w:pPr>
      <w:r>
        <w:t xml:space="preserve">Reporting and Communication </w:t>
      </w:r>
    </w:p>
    <w:p w:rsidR="004B4035" w:rsidRDefault="00A745FD" w14:paraId="4E07A7A2" w14:textId="77777777">
      <w:pPr>
        <w:numPr>
          <w:ilvl w:val="0"/>
          <w:numId w:val="4"/>
        </w:numPr>
        <w:ind w:firstLine="360"/>
      </w:pPr>
      <w:r>
        <w:t xml:space="preserve">A risk register will be maintained and regularly reviewed by the board of trustees. </w:t>
      </w:r>
    </w:p>
    <w:p w:rsidR="004B4035" w:rsidRDefault="00A745FD" w14:paraId="16B6C1F4" w14:textId="77777777">
      <w:pPr>
        <w:numPr>
          <w:ilvl w:val="0"/>
          <w:numId w:val="4"/>
        </w:numPr>
        <w:ind w:firstLine="360"/>
      </w:pPr>
      <w:r>
        <w:t xml:space="preserve">Key risks and mitigation efforts will be communicated to relevant stakeholders. </w:t>
      </w:r>
    </w:p>
    <w:p w:rsidR="004B4035" w:rsidRDefault="00A745FD" w14:paraId="7C3B67C8" w14:textId="77777777">
      <w:pPr>
        <w:numPr>
          <w:ilvl w:val="0"/>
          <w:numId w:val="4"/>
        </w:numPr>
        <w:spacing w:after="187" w:line="322" w:lineRule="auto"/>
        <w:ind w:firstLine="360"/>
      </w:pPr>
      <w:r>
        <w:t xml:space="preserve">In its annual report, the board of trustees will report on the steps it has taken to manage risk, to demonstrate the charity's accountability to its stakeholders including </w:t>
      </w:r>
      <w:r>
        <w:t xml:space="preserve">beneficiaries, donors, funders, employees, volunteers, and the general public. </w:t>
      </w:r>
      <w:r>
        <w:rPr>
          <w:b/>
        </w:rPr>
        <w:t xml:space="preserve">Current Risks </w:t>
      </w:r>
    </w:p>
    <w:p w:rsidR="004B4035" w:rsidRDefault="00A745FD" w14:paraId="0E096210" w14:textId="77777777">
      <w:pPr>
        <w:spacing w:after="268"/>
      </w:pPr>
      <w:r>
        <w:t xml:space="preserve">Current risks can be found in the risk register. </w:t>
      </w:r>
    </w:p>
    <w:p w:rsidR="004B4035" w:rsidRDefault="00A745FD" w14:paraId="1903C3C6" w14:textId="77777777">
      <w:pPr>
        <w:pStyle w:val="Heading1"/>
        <w:ind w:left="-5"/>
      </w:pPr>
      <w:r>
        <w:t xml:space="preserve">Review and Continuous Improvement </w:t>
      </w:r>
    </w:p>
    <w:p w:rsidR="004B4035" w:rsidRDefault="00A745FD" w14:paraId="407A531A" w14:textId="77777777">
      <w:pPr>
        <w:numPr>
          <w:ilvl w:val="0"/>
          <w:numId w:val="5"/>
        </w:numPr>
        <w:ind w:hanging="360"/>
      </w:pPr>
      <w:r>
        <w:t xml:space="preserve">The risk management policy and processes will be reviewed annually or more regularly as needed. </w:t>
      </w:r>
    </w:p>
    <w:p w:rsidR="00A745FD" w:rsidP="00A745FD" w:rsidRDefault="00A745FD" w14:paraId="2A2114E2" w14:textId="5FFA79D9">
      <w:pPr>
        <w:numPr>
          <w:ilvl w:val="0"/>
          <w:numId w:val="5"/>
        </w:numPr>
        <w:spacing w:line="486" w:lineRule="auto"/>
        <w:ind w:hanging="360"/>
      </w:pPr>
      <w:r>
        <w:t>Lessons learned from risk events will be used to improve risk management practices.</w:t>
      </w:r>
    </w:p>
    <w:p w:rsidR="004B4035" w:rsidP="00A745FD" w:rsidRDefault="00A745FD" w14:paraId="2FD2F3EC" w14:textId="60F82144">
      <w:pPr>
        <w:spacing w:line="486" w:lineRule="auto"/>
      </w:pPr>
      <w:r>
        <w:rPr>
          <w:b/>
        </w:rPr>
        <w:t xml:space="preserve">Training and Awareness </w:t>
      </w:r>
    </w:p>
    <w:p w:rsidR="004B4035" w:rsidRDefault="00A745FD" w14:paraId="4AE478A7" w14:textId="77777777">
      <w:pPr>
        <w:numPr>
          <w:ilvl w:val="0"/>
          <w:numId w:val="5"/>
        </w:numPr>
        <w:ind w:hanging="360"/>
      </w:pPr>
      <w:r>
        <w:t xml:space="preserve">Staff and volunteers will receive training on risk management principles and practices. </w:t>
      </w:r>
    </w:p>
    <w:p w:rsidR="004B4035" w:rsidRDefault="00A745FD" w14:paraId="39F5894B" w14:textId="77777777">
      <w:pPr>
        <w:numPr>
          <w:ilvl w:val="0"/>
          <w:numId w:val="5"/>
        </w:numPr>
        <w:spacing w:after="270"/>
        <w:ind w:hanging="360"/>
      </w:pPr>
      <w:r>
        <w:t xml:space="preserve">Regular communication will be conducted to raise awareness of the importance of risk management. </w:t>
      </w:r>
    </w:p>
    <w:p w:rsidRPr="00A745FD" w:rsidR="00A745FD" w:rsidP="00A745FD" w:rsidRDefault="00A745FD" w14:paraId="0E342859" w14:textId="77777777">
      <w:pPr>
        <w:spacing w:before="100" w:beforeAutospacing="1" w:after="100" w:afterAutospacing="1" w:line="240" w:lineRule="auto"/>
        <w:rPr>
          <w:rFonts w:eastAsia="Times New Roman"/>
          <w:b/>
          <w:bCs/>
          <w:kern w:val="0"/>
          <w14:ligatures w14:val="none"/>
        </w:rPr>
      </w:pPr>
      <w:r w:rsidRPr="00A745FD">
        <w:rPr>
          <w:rFonts w:eastAsia="Times New Roman"/>
          <w:b/>
          <w:bCs/>
          <w:kern w:val="0"/>
          <w14:ligatures w14:val="none"/>
        </w:rPr>
        <w:t>Version Control - Approval and Review</w:t>
      </w:r>
    </w:p>
    <w:tbl>
      <w:tblPr>
        <w:tblStyle w:val="TableGrid0"/>
        <w:tblW w:w="0" w:type="auto"/>
        <w:tblLook w:val="04A0" w:firstRow="1" w:lastRow="0" w:firstColumn="1" w:lastColumn="0" w:noHBand="0" w:noVBand="1"/>
      </w:tblPr>
      <w:tblGrid>
        <w:gridCol w:w="1646"/>
        <w:gridCol w:w="2190"/>
        <w:gridCol w:w="1924"/>
        <w:gridCol w:w="2491"/>
        <w:gridCol w:w="1893"/>
      </w:tblGrid>
      <w:tr w:rsidR="00A745FD" w:rsidTr="7C95A0E4" w14:paraId="07554EDA" w14:textId="77777777">
        <w:tc>
          <w:tcPr>
            <w:tcW w:w="1648" w:type="dxa"/>
            <w:shd w:val="clear" w:color="auto" w:fill="F1A983" w:themeFill="accent2" w:themeFillTint="99"/>
            <w:tcMar/>
          </w:tcPr>
          <w:p w:rsidRPr="007D3CB9" w:rsidR="00A745FD" w:rsidP="009C4C33" w:rsidRDefault="00A745FD" w14:paraId="01FC9ACE"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Version No.</w:t>
            </w:r>
          </w:p>
        </w:tc>
        <w:tc>
          <w:tcPr>
            <w:tcW w:w="2194" w:type="dxa"/>
            <w:shd w:val="clear" w:color="auto" w:fill="F1A983" w:themeFill="accent2" w:themeFillTint="99"/>
            <w:tcMar/>
          </w:tcPr>
          <w:p w:rsidRPr="007D3CB9" w:rsidR="00A745FD" w:rsidP="009C4C33" w:rsidRDefault="00A745FD" w14:paraId="52CB745A"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Approved by</w:t>
            </w:r>
          </w:p>
        </w:tc>
        <w:tc>
          <w:tcPr>
            <w:tcW w:w="1927" w:type="dxa"/>
            <w:shd w:val="clear" w:color="auto" w:fill="F1A983" w:themeFill="accent2" w:themeFillTint="99"/>
            <w:tcMar/>
          </w:tcPr>
          <w:p w:rsidRPr="007D3CB9" w:rsidR="00A745FD" w:rsidP="009C4C33" w:rsidRDefault="00A745FD" w14:paraId="623B7E48"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Approval Date</w:t>
            </w:r>
          </w:p>
        </w:tc>
        <w:tc>
          <w:tcPr>
            <w:tcW w:w="2496" w:type="dxa"/>
            <w:shd w:val="clear" w:color="auto" w:fill="F1A983" w:themeFill="accent2" w:themeFillTint="99"/>
            <w:tcMar/>
          </w:tcPr>
          <w:p w:rsidRPr="007D3CB9" w:rsidR="00A745FD" w:rsidP="009C4C33" w:rsidRDefault="00A745FD" w14:paraId="1F687BFB"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Main Change</w:t>
            </w:r>
          </w:p>
        </w:tc>
        <w:tc>
          <w:tcPr>
            <w:tcW w:w="1896" w:type="dxa"/>
            <w:shd w:val="clear" w:color="auto" w:fill="F1A983" w:themeFill="accent2" w:themeFillTint="99"/>
            <w:tcMar/>
          </w:tcPr>
          <w:p w:rsidRPr="007D3CB9" w:rsidR="00A745FD" w:rsidP="009C4C33" w:rsidRDefault="00A745FD" w14:paraId="06690E46"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Review Period</w:t>
            </w:r>
          </w:p>
        </w:tc>
      </w:tr>
      <w:tr w:rsidR="00A745FD" w:rsidTr="7C95A0E4" w14:paraId="5D2F557A" w14:textId="77777777">
        <w:tc>
          <w:tcPr>
            <w:tcW w:w="1648" w:type="dxa"/>
            <w:tcMar/>
          </w:tcPr>
          <w:p w:rsidRPr="00290EBE" w:rsidR="00A745FD" w:rsidP="009C4C33" w:rsidRDefault="00A745FD" w14:paraId="6EBEB63E"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1.0</w:t>
            </w:r>
          </w:p>
        </w:tc>
        <w:tc>
          <w:tcPr>
            <w:tcW w:w="2194" w:type="dxa"/>
            <w:tcMar/>
          </w:tcPr>
          <w:p w:rsidRPr="00290EBE" w:rsidR="00A745FD" w:rsidP="009C4C33" w:rsidRDefault="00A745FD" w14:paraId="25625971"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 xml:space="preserve">Diarmuid Molloy </w:t>
            </w:r>
          </w:p>
        </w:tc>
        <w:tc>
          <w:tcPr>
            <w:tcW w:w="1927" w:type="dxa"/>
            <w:tcMar/>
          </w:tcPr>
          <w:p w:rsidRPr="00290EBE" w:rsidR="00A745FD" w:rsidP="009C4C33" w:rsidRDefault="00A745FD" w14:paraId="490E13B3" w14:textId="10D12412">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 xml:space="preserve">7 October </w:t>
            </w:r>
            <w:r w:rsidRPr="00290EBE">
              <w:rPr>
                <w:rFonts w:eastAsia="Times New Roman"/>
                <w:kern w:val="0"/>
                <w:lang w:eastAsia="en-GB"/>
                <w14:ligatures w14:val="none"/>
              </w:rPr>
              <w:t>2024</w:t>
            </w:r>
          </w:p>
        </w:tc>
        <w:tc>
          <w:tcPr>
            <w:tcW w:w="2496" w:type="dxa"/>
            <w:tcMar/>
          </w:tcPr>
          <w:p w:rsidRPr="00290EBE" w:rsidR="00A745FD" w:rsidP="009C4C33" w:rsidRDefault="00A745FD" w14:paraId="3C169717"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New policy format approved</w:t>
            </w:r>
          </w:p>
        </w:tc>
        <w:tc>
          <w:tcPr>
            <w:tcW w:w="1896" w:type="dxa"/>
            <w:tcMar/>
          </w:tcPr>
          <w:p w:rsidRPr="00290EBE" w:rsidR="00A745FD" w:rsidP="009C4C33" w:rsidRDefault="00A745FD" w14:paraId="49AF17C2"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Annually</w:t>
            </w:r>
          </w:p>
        </w:tc>
      </w:tr>
      <w:tr w:rsidR="00A745FD" w:rsidTr="7C95A0E4" w14:paraId="2D624CC1" w14:textId="77777777">
        <w:tc>
          <w:tcPr>
            <w:tcW w:w="1648" w:type="dxa"/>
            <w:tcMar/>
          </w:tcPr>
          <w:p w:rsidRPr="00290EBE" w:rsidR="00A745FD" w:rsidP="009C4C33" w:rsidRDefault="00A745FD" w14:paraId="7BEF07A7"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1.1</w:t>
            </w:r>
          </w:p>
        </w:tc>
        <w:tc>
          <w:tcPr>
            <w:tcW w:w="2194" w:type="dxa"/>
            <w:tcMar/>
          </w:tcPr>
          <w:p w:rsidRPr="00290EBE" w:rsidR="00A745FD" w:rsidP="009C4C33" w:rsidRDefault="00A745FD" w14:paraId="1C0585CF"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Diarmuid Molloy</w:t>
            </w:r>
          </w:p>
        </w:tc>
        <w:tc>
          <w:tcPr>
            <w:tcW w:w="1927" w:type="dxa"/>
            <w:tcMar/>
          </w:tcPr>
          <w:p w:rsidRPr="00290EBE" w:rsidR="00A745FD" w:rsidP="009C4C33" w:rsidRDefault="00A745FD" w14:paraId="1AEB1EA8"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8</w:t>
            </w:r>
            <w:r w:rsidRPr="00290EBE">
              <w:rPr>
                <w:rFonts w:eastAsia="Times New Roman"/>
                <w:kern w:val="0"/>
                <w:lang w:eastAsia="en-GB"/>
                <w14:ligatures w14:val="none"/>
              </w:rPr>
              <w:t xml:space="preserve"> August 2025</w:t>
            </w:r>
          </w:p>
        </w:tc>
        <w:tc>
          <w:tcPr>
            <w:tcW w:w="2496" w:type="dxa"/>
            <w:tcMar/>
          </w:tcPr>
          <w:p w:rsidRPr="00290EBE" w:rsidR="00A745FD" w:rsidP="009C4C33" w:rsidRDefault="00A745FD" w14:paraId="4903DF4F"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 review</w:t>
            </w:r>
          </w:p>
        </w:tc>
        <w:tc>
          <w:tcPr>
            <w:tcW w:w="1896" w:type="dxa"/>
            <w:tcMar/>
          </w:tcPr>
          <w:p w:rsidRPr="00290EBE" w:rsidR="00A745FD" w:rsidP="009C4C33" w:rsidRDefault="00A745FD" w14:paraId="349AB018"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Annually</w:t>
            </w:r>
          </w:p>
        </w:tc>
      </w:tr>
      <w:tr w:rsidR="00A745FD" w:rsidTr="7C95A0E4" w14:paraId="4A376B43" w14:textId="77777777">
        <w:tc>
          <w:tcPr>
            <w:tcW w:w="1648" w:type="dxa"/>
            <w:tcMar/>
          </w:tcPr>
          <w:p w:rsidR="7C95A0E4" w:rsidP="7C95A0E4" w:rsidRDefault="7C95A0E4" w14:paraId="48656194" w14:textId="36D9D51A">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rPr>
            </w:pPr>
            <w:r w:rsidRPr="7C95A0E4" w:rsidR="7C95A0E4">
              <w:rPr>
                <w:rFonts w:ascii="Arial" w:hAnsi="Arial" w:eastAsia="Arial" w:cs="Arial"/>
                <w:b w:val="0"/>
                <w:bCs w:val="0"/>
                <w:i w:val="0"/>
                <w:iCs w:val="0"/>
                <w:caps w:val="0"/>
                <w:smallCaps w:val="0"/>
                <w:color w:val="000000" w:themeColor="text1" w:themeTint="FF" w:themeShade="FF"/>
                <w:sz w:val="24"/>
                <w:szCs w:val="24"/>
                <w:lang w:val="en-GB"/>
              </w:rPr>
              <w:t>1.2</w:t>
            </w:r>
          </w:p>
        </w:tc>
        <w:tc>
          <w:tcPr>
            <w:tcW w:w="2194" w:type="dxa"/>
            <w:tcMar/>
          </w:tcPr>
          <w:p w:rsidR="7C95A0E4" w:rsidP="7C95A0E4" w:rsidRDefault="7C95A0E4" w14:paraId="12A5A4F8" w14:textId="17047E18">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rPr>
            </w:pPr>
            <w:r w:rsidRPr="7C95A0E4" w:rsidR="7C95A0E4">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927" w:type="dxa"/>
            <w:tcMar/>
          </w:tcPr>
          <w:p w:rsidR="7C95A0E4" w:rsidP="7C95A0E4" w:rsidRDefault="7C95A0E4" w14:paraId="1ED939CB" w14:textId="279AB5EA">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rPr>
            </w:pPr>
            <w:r w:rsidRPr="7C95A0E4" w:rsidR="7C95A0E4">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96" w:type="dxa"/>
            <w:tcMar/>
          </w:tcPr>
          <w:p w:rsidR="30EE0C6E" w:rsidP="7C95A0E4" w:rsidRDefault="30EE0C6E" w14:paraId="7442ACCC" w14:textId="14CFE99D">
            <w:pPr>
              <w:spacing w:after="0" w:line="259" w:lineRule="auto"/>
              <w:ind w:left="1" w:hanging="10" w:firstLine="0"/>
            </w:pPr>
            <w:r w:rsidRPr="7C95A0E4" w:rsidR="30EE0C6E">
              <w:rPr>
                <w:rFonts w:ascii="Arial" w:hAnsi="Arial" w:eastAsia="Arial" w:cs="Arial"/>
                <w:b w:val="0"/>
                <w:bCs w:val="0"/>
                <w:i w:val="0"/>
                <w:iCs w:val="0"/>
                <w:caps w:val="0"/>
                <w:smallCaps w:val="0"/>
                <w:color w:val="000000" w:themeColor="text1" w:themeTint="FF" w:themeShade="FF"/>
                <w:sz w:val="24"/>
                <w:szCs w:val="24"/>
                <w:lang w:val="en-GB"/>
              </w:rPr>
              <w:t>Annual  review</w:t>
            </w:r>
          </w:p>
        </w:tc>
        <w:tc>
          <w:tcPr>
            <w:tcW w:w="1896" w:type="dxa"/>
            <w:tcMar/>
          </w:tcPr>
          <w:p w:rsidR="7C95A0E4" w:rsidP="7C95A0E4" w:rsidRDefault="7C95A0E4" w14:paraId="2D6FD3A7" w14:textId="4B570F68">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rPr>
            </w:pPr>
            <w:r w:rsidRPr="7C95A0E4" w:rsidR="7C95A0E4">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7C95A0E4" w:rsidTr="7C95A0E4" w14:paraId="03C1BBB8">
        <w:trPr>
          <w:trHeight w:val="300"/>
        </w:trPr>
        <w:tc>
          <w:tcPr>
            <w:tcW w:w="1646" w:type="dxa"/>
            <w:tcMar/>
          </w:tcPr>
          <w:p w:rsidR="7C95A0E4" w:rsidP="7C95A0E4" w:rsidRDefault="7C95A0E4" w14:paraId="6445E621" w14:textId="0C36965B">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190" w:type="dxa"/>
            <w:tcMar/>
          </w:tcPr>
          <w:p w:rsidR="7C95A0E4" w:rsidP="7C95A0E4" w:rsidRDefault="7C95A0E4" w14:paraId="7DD665E9" w14:textId="1E052362">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924" w:type="dxa"/>
            <w:tcMar/>
          </w:tcPr>
          <w:p w:rsidR="7C95A0E4" w:rsidP="7C95A0E4" w:rsidRDefault="7C95A0E4" w14:paraId="3AC560C4" w14:textId="25041787">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491" w:type="dxa"/>
            <w:tcMar/>
          </w:tcPr>
          <w:p w:rsidR="7C95A0E4" w:rsidP="7C95A0E4" w:rsidRDefault="7C95A0E4" w14:paraId="6D87EA1D" w14:textId="36659C7A">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893" w:type="dxa"/>
            <w:tcMar/>
          </w:tcPr>
          <w:p w:rsidR="7C95A0E4" w:rsidP="7C95A0E4" w:rsidRDefault="7C95A0E4" w14:paraId="6E27108F" w14:textId="15A64B00">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r>
    </w:tbl>
    <w:p w:rsidR="004B4035" w:rsidP="00A745FD" w:rsidRDefault="00A745FD" w14:paraId="5CE28D52" w14:textId="77777777">
      <w:pPr>
        <w:spacing w:after="270"/>
      </w:pPr>
      <w:r>
        <w:rPr>
          <w:b/>
          <w:color w:val="CF3809"/>
        </w:rPr>
        <w:t xml:space="preserve"> </w:t>
      </w:r>
    </w:p>
    <w:sectPr w:rsidR="004B4035">
      <w:footerReference w:type="even" r:id="rId10"/>
      <w:footerReference w:type="default" r:id="rId11"/>
      <w:footerReference w:type="first" r:id="rId12"/>
      <w:pgSz w:w="12240" w:h="15840" w:orient="portrait"/>
      <w:pgMar w:top="1042" w:right="1233" w:bottom="898" w:left="85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45FD" w:rsidRDefault="00A745FD" w14:paraId="67E65AAD" w14:textId="77777777">
      <w:pPr>
        <w:spacing w:after="0" w:line="240" w:lineRule="auto"/>
      </w:pPr>
      <w:r>
        <w:separator/>
      </w:r>
    </w:p>
  </w:endnote>
  <w:endnote w:type="continuationSeparator" w:id="0">
    <w:p w:rsidR="00A745FD" w:rsidRDefault="00A745FD" w14:paraId="044045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035" w:rsidRDefault="00A745FD" w14:paraId="49D6DCB7" w14:textId="77777777">
    <w:pPr>
      <w:spacing w:after="0" w:line="259" w:lineRule="auto"/>
      <w:ind w:left="0" w:right="-20"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4B4035" w:rsidRDefault="00A745FD" w14:paraId="52DE34B7"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035" w:rsidRDefault="00A745FD" w14:paraId="5F6BD5C2" w14:textId="77777777">
    <w:pPr>
      <w:spacing w:after="0" w:line="259" w:lineRule="auto"/>
      <w:ind w:left="0" w:right="-20"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4B4035" w:rsidRDefault="00A745FD" w14:paraId="46F44DB1"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035" w:rsidRDefault="004B4035" w14:paraId="54891FED"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45FD" w:rsidRDefault="00A745FD" w14:paraId="4D984621" w14:textId="77777777">
      <w:pPr>
        <w:spacing w:after="0" w:line="240" w:lineRule="auto"/>
      </w:pPr>
      <w:r>
        <w:separator/>
      </w:r>
    </w:p>
  </w:footnote>
  <w:footnote w:type="continuationSeparator" w:id="0">
    <w:p w:rsidR="00A745FD" w:rsidRDefault="00A745FD" w14:paraId="251F616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1212"/>
    <w:multiLevelType w:val="hybridMultilevel"/>
    <w:tmpl w:val="D79E4F3C"/>
    <w:lvl w:ilvl="0" w:tplc="142659B4">
      <w:start w:val="1"/>
      <w:numFmt w:val="bullet"/>
      <w:lvlText w:val="•"/>
      <w:lvlJc w:val="left"/>
      <w:pPr>
        <w:ind w:left="175"/>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1" w:tplc="A0B27B1E">
      <w:start w:val="1"/>
      <w:numFmt w:val="bullet"/>
      <w:lvlText w:val="o"/>
      <w:lvlJc w:val="left"/>
      <w:pPr>
        <w:ind w:left="11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2" w:tplc="8F24CC46">
      <w:start w:val="1"/>
      <w:numFmt w:val="bullet"/>
      <w:lvlText w:val="▪"/>
      <w:lvlJc w:val="left"/>
      <w:pPr>
        <w:ind w:left="19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3" w:tplc="4420E7E8">
      <w:start w:val="1"/>
      <w:numFmt w:val="bullet"/>
      <w:lvlText w:val="•"/>
      <w:lvlJc w:val="left"/>
      <w:pPr>
        <w:ind w:left="26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4" w:tplc="6A165EFA">
      <w:start w:val="1"/>
      <w:numFmt w:val="bullet"/>
      <w:lvlText w:val="o"/>
      <w:lvlJc w:val="left"/>
      <w:pPr>
        <w:ind w:left="335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5" w:tplc="FE0CB306">
      <w:start w:val="1"/>
      <w:numFmt w:val="bullet"/>
      <w:lvlText w:val="▪"/>
      <w:lvlJc w:val="left"/>
      <w:pPr>
        <w:ind w:left="407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6" w:tplc="9DC06732">
      <w:start w:val="1"/>
      <w:numFmt w:val="bullet"/>
      <w:lvlText w:val="•"/>
      <w:lvlJc w:val="left"/>
      <w:pPr>
        <w:ind w:left="47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7" w:tplc="7B2A70EA">
      <w:start w:val="1"/>
      <w:numFmt w:val="bullet"/>
      <w:lvlText w:val="o"/>
      <w:lvlJc w:val="left"/>
      <w:pPr>
        <w:ind w:left="55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8" w:tplc="1F987450">
      <w:start w:val="1"/>
      <w:numFmt w:val="bullet"/>
      <w:lvlText w:val="▪"/>
      <w:lvlJc w:val="left"/>
      <w:pPr>
        <w:ind w:left="62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abstractNum>
  <w:abstractNum w:abstractNumId="1" w15:restartNumberingAfterBreak="0">
    <w:nsid w:val="01610245"/>
    <w:multiLevelType w:val="hybridMultilevel"/>
    <w:tmpl w:val="8562A992"/>
    <w:lvl w:ilvl="0" w:tplc="B944EA8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B8EAAD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342456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670A73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858241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37F416F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FFED66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A208AA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0E92354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1070566A"/>
    <w:multiLevelType w:val="hybridMultilevel"/>
    <w:tmpl w:val="BE2C1F30"/>
    <w:lvl w:ilvl="0" w:tplc="E3C2429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8C07BD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CC4B36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B764F3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D5A6B2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B88C91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D3AB00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12C48F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BF6AF4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1D0D2BD7"/>
    <w:multiLevelType w:val="hybridMultilevel"/>
    <w:tmpl w:val="395A9A34"/>
    <w:lvl w:ilvl="0" w:tplc="37A40D5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1E287E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8C85BC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162311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8824F0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0B4AFD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7D614D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B2C6DC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CD6849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321B7002"/>
    <w:multiLevelType w:val="hybridMultilevel"/>
    <w:tmpl w:val="9E907F5A"/>
    <w:lvl w:ilvl="0" w:tplc="12CEB4B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C6CCC0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35E724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BBCCF3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AC66B7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B54D97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44D61A8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49A68D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2AE477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3FEE4B82"/>
    <w:multiLevelType w:val="hybridMultilevel"/>
    <w:tmpl w:val="1994BFB0"/>
    <w:lvl w:ilvl="0" w:tplc="6E0C2532">
      <w:start w:val="1"/>
      <w:numFmt w:val="bullet"/>
      <w:lvlText w:val="•"/>
      <w:lvlJc w:val="left"/>
      <w:pPr>
        <w:ind w:left="175"/>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1" w:tplc="5EC6431A">
      <w:start w:val="1"/>
      <w:numFmt w:val="bullet"/>
      <w:lvlText w:val="o"/>
      <w:lvlJc w:val="left"/>
      <w:pPr>
        <w:ind w:left="11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2" w:tplc="8DF8E58C">
      <w:start w:val="1"/>
      <w:numFmt w:val="bullet"/>
      <w:lvlText w:val="▪"/>
      <w:lvlJc w:val="left"/>
      <w:pPr>
        <w:ind w:left="19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3" w:tplc="D7128FBA">
      <w:start w:val="1"/>
      <w:numFmt w:val="bullet"/>
      <w:lvlText w:val="•"/>
      <w:lvlJc w:val="left"/>
      <w:pPr>
        <w:ind w:left="26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4" w:tplc="75664100">
      <w:start w:val="1"/>
      <w:numFmt w:val="bullet"/>
      <w:lvlText w:val="o"/>
      <w:lvlJc w:val="left"/>
      <w:pPr>
        <w:ind w:left="335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5" w:tplc="F7B6B608">
      <w:start w:val="1"/>
      <w:numFmt w:val="bullet"/>
      <w:lvlText w:val="▪"/>
      <w:lvlJc w:val="left"/>
      <w:pPr>
        <w:ind w:left="407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6" w:tplc="F9C6A796">
      <w:start w:val="1"/>
      <w:numFmt w:val="bullet"/>
      <w:lvlText w:val="•"/>
      <w:lvlJc w:val="left"/>
      <w:pPr>
        <w:ind w:left="47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7" w:tplc="C9404806">
      <w:start w:val="1"/>
      <w:numFmt w:val="bullet"/>
      <w:lvlText w:val="o"/>
      <w:lvlJc w:val="left"/>
      <w:pPr>
        <w:ind w:left="55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8" w:tplc="88FA4E8A">
      <w:start w:val="1"/>
      <w:numFmt w:val="bullet"/>
      <w:lvlText w:val="▪"/>
      <w:lvlJc w:val="left"/>
      <w:pPr>
        <w:ind w:left="62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abstractNum>
  <w:abstractNum w:abstractNumId="6" w15:restartNumberingAfterBreak="0">
    <w:nsid w:val="40454FB9"/>
    <w:multiLevelType w:val="hybridMultilevel"/>
    <w:tmpl w:val="7FF42C4A"/>
    <w:lvl w:ilvl="0" w:tplc="8F16B8D0">
      <w:start w:val="1"/>
      <w:numFmt w:val="bullet"/>
      <w:lvlText w:val="•"/>
      <w:lvlJc w:val="left"/>
      <w:pPr>
        <w:ind w:left="175"/>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1" w:tplc="71EE3DB4">
      <w:start w:val="1"/>
      <w:numFmt w:val="bullet"/>
      <w:lvlText w:val="o"/>
      <w:lvlJc w:val="left"/>
      <w:pPr>
        <w:ind w:left="11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2" w:tplc="A0BCD6FE">
      <w:start w:val="1"/>
      <w:numFmt w:val="bullet"/>
      <w:lvlText w:val="▪"/>
      <w:lvlJc w:val="left"/>
      <w:pPr>
        <w:ind w:left="19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3" w:tplc="4BCEA4C4">
      <w:start w:val="1"/>
      <w:numFmt w:val="bullet"/>
      <w:lvlText w:val="•"/>
      <w:lvlJc w:val="left"/>
      <w:pPr>
        <w:ind w:left="26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4" w:tplc="8AB4A010">
      <w:start w:val="1"/>
      <w:numFmt w:val="bullet"/>
      <w:lvlText w:val="o"/>
      <w:lvlJc w:val="left"/>
      <w:pPr>
        <w:ind w:left="335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5" w:tplc="1ACA1EDE">
      <w:start w:val="1"/>
      <w:numFmt w:val="bullet"/>
      <w:lvlText w:val="▪"/>
      <w:lvlJc w:val="left"/>
      <w:pPr>
        <w:ind w:left="407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6" w:tplc="6B7A8BD8">
      <w:start w:val="1"/>
      <w:numFmt w:val="bullet"/>
      <w:lvlText w:val="•"/>
      <w:lvlJc w:val="left"/>
      <w:pPr>
        <w:ind w:left="47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7" w:tplc="4596F16C">
      <w:start w:val="1"/>
      <w:numFmt w:val="bullet"/>
      <w:lvlText w:val="o"/>
      <w:lvlJc w:val="left"/>
      <w:pPr>
        <w:ind w:left="55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8" w:tplc="59207DA2">
      <w:start w:val="1"/>
      <w:numFmt w:val="bullet"/>
      <w:lvlText w:val="▪"/>
      <w:lvlJc w:val="left"/>
      <w:pPr>
        <w:ind w:left="62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abstractNum>
  <w:abstractNum w:abstractNumId="7" w15:restartNumberingAfterBreak="0">
    <w:nsid w:val="6BA5644A"/>
    <w:multiLevelType w:val="hybridMultilevel"/>
    <w:tmpl w:val="6714F526"/>
    <w:lvl w:ilvl="0" w:tplc="3294A722">
      <w:start w:val="1"/>
      <w:numFmt w:val="bullet"/>
      <w:lvlText w:val="•"/>
      <w:lvlJc w:val="left"/>
      <w:pPr>
        <w:ind w:left="175"/>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1" w:tplc="3F2E31A0">
      <w:start w:val="1"/>
      <w:numFmt w:val="bullet"/>
      <w:lvlText w:val="o"/>
      <w:lvlJc w:val="left"/>
      <w:pPr>
        <w:ind w:left="11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2" w:tplc="4EDA9552">
      <w:start w:val="1"/>
      <w:numFmt w:val="bullet"/>
      <w:lvlText w:val="▪"/>
      <w:lvlJc w:val="left"/>
      <w:pPr>
        <w:ind w:left="19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3" w:tplc="FAECC47C">
      <w:start w:val="1"/>
      <w:numFmt w:val="bullet"/>
      <w:lvlText w:val="•"/>
      <w:lvlJc w:val="left"/>
      <w:pPr>
        <w:ind w:left="26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4" w:tplc="84868616">
      <w:start w:val="1"/>
      <w:numFmt w:val="bullet"/>
      <w:lvlText w:val="o"/>
      <w:lvlJc w:val="left"/>
      <w:pPr>
        <w:ind w:left="335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5" w:tplc="81ECE2F8">
      <w:start w:val="1"/>
      <w:numFmt w:val="bullet"/>
      <w:lvlText w:val="▪"/>
      <w:lvlJc w:val="left"/>
      <w:pPr>
        <w:ind w:left="407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6" w:tplc="C4A223DA">
      <w:start w:val="1"/>
      <w:numFmt w:val="bullet"/>
      <w:lvlText w:val="•"/>
      <w:lvlJc w:val="left"/>
      <w:pPr>
        <w:ind w:left="47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7" w:tplc="BE46F68C">
      <w:start w:val="1"/>
      <w:numFmt w:val="bullet"/>
      <w:lvlText w:val="o"/>
      <w:lvlJc w:val="left"/>
      <w:pPr>
        <w:ind w:left="55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8" w:tplc="DFA8EE3A">
      <w:start w:val="1"/>
      <w:numFmt w:val="bullet"/>
      <w:lvlText w:val="▪"/>
      <w:lvlJc w:val="left"/>
      <w:pPr>
        <w:ind w:left="62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abstractNum>
  <w:abstractNum w:abstractNumId="8" w15:restartNumberingAfterBreak="0">
    <w:nsid w:val="7BA5336D"/>
    <w:multiLevelType w:val="hybridMultilevel"/>
    <w:tmpl w:val="59CC5364"/>
    <w:lvl w:ilvl="0" w:tplc="76446FE4">
      <w:start w:val="1"/>
      <w:numFmt w:val="bullet"/>
      <w:lvlText w:val="•"/>
      <w:lvlJc w:val="left"/>
      <w:pPr>
        <w:ind w:left="3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9E4842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E5CB54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7F4B4C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ADC1F2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286311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8943D1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9D89D8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3F0016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7F3439DD"/>
    <w:multiLevelType w:val="hybridMultilevel"/>
    <w:tmpl w:val="376A4032"/>
    <w:lvl w:ilvl="0" w:tplc="27FE89D6">
      <w:start w:val="1"/>
      <w:numFmt w:val="bullet"/>
      <w:lvlText w:val="•"/>
      <w:lvlJc w:val="left"/>
      <w:pPr>
        <w:ind w:left="3"/>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1" w:tplc="7FBA76F8">
      <w:start w:val="1"/>
      <w:numFmt w:val="bullet"/>
      <w:lvlText w:val="o"/>
      <w:lvlJc w:val="left"/>
      <w:pPr>
        <w:ind w:left="11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2" w:tplc="AD72A2FA">
      <w:start w:val="1"/>
      <w:numFmt w:val="bullet"/>
      <w:lvlText w:val="▪"/>
      <w:lvlJc w:val="left"/>
      <w:pPr>
        <w:ind w:left="19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3" w:tplc="EE14F6A0">
      <w:start w:val="1"/>
      <w:numFmt w:val="bullet"/>
      <w:lvlText w:val="•"/>
      <w:lvlJc w:val="left"/>
      <w:pPr>
        <w:ind w:left="26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4" w:tplc="F7E8432A">
      <w:start w:val="1"/>
      <w:numFmt w:val="bullet"/>
      <w:lvlText w:val="o"/>
      <w:lvlJc w:val="left"/>
      <w:pPr>
        <w:ind w:left="335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5" w:tplc="1C42572A">
      <w:start w:val="1"/>
      <w:numFmt w:val="bullet"/>
      <w:lvlText w:val="▪"/>
      <w:lvlJc w:val="left"/>
      <w:pPr>
        <w:ind w:left="407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6" w:tplc="4AA2811A">
      <w:start w:val="1"/>
      <w:numFmt w:val="bullet"/>
      <w:lvlText w:val="•"/>
      <w:lvlJc w:val="left"/>
      <w:pPr>
        <w:ind w:left="479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7" w:tplc="20C6BC20">
      <w:start w:val="1"/>
      <w:numFmt w:val="bullet"/>
      <w:lvlText w:val="o"/>
      <w:lvlJc w:val="left"/>
      <w:pPr>
        <w:ind w:left="551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lvl w:ilvl="8" w:tplc="CCC41B14">
      <w:start w:val="1"/>
      <w:numFmt w:val="bullet"/>
      <w:lvlText w:val="▪"/>
      <w:lvlJc w:val="left"/>
      <w:pPr>
        <w:ind w:left="6236"/>
      </w:pPr>
      <w:rPr>
        <w:rFonts w:ascii="Arial" w:hAnsi="Arial" w:eastAsia="Arial" w:cs="Arial"/>
        <w:b w:val="0"/>
        <w:i w:val="0"/>
        <w:strike w:val="0"/>
        <w:dstrike w:val="0"/>
        <w:color w:val="0D1348"/>
        <w:sz w:val="22"/>
        <w:szCs w:val="22"/>
        <w:u w:val="none" w:color="000000"/>
        <w:bdr w:val="none" w:color="auto" w:sz="0" w:space="0"/>
        <w:shd w:val="clear" w:color="auto" w:fill="auto"/>
        <w:vertAlign w:val="baseline"/>
      </w:rPr>
    </w:lvl>
  </w:abstractNum>
  <w:num w:numId="1" w16cid:durableId="363680196">
    <w:abstractNumId w:val="3"/>
  </w:num>
  <w:num w:numId="2" w16cid:durableId="1578203696">
    <w:abstractNumId w:val="1"/>
  </w:num>
  <w:num w:numId="3" w16cid:durableId="1653829476">
    <w:abstractNumId w:val="2"/>
  </w:num>
  <w:num w:numId="4" w16cid:durableId="1854998348">
    <w:abstractNumId w:val="8"/>
  </w:num>
  <w:num w:numId="5" w16cid:durableId="828716575">
    <w:abstractNumId w:val="4"/>
  </w:num>
  <w:num w:numId="6" w16cid:durableId="2090270964">
    <w:abstractNumId w:val="9"/>
  </w:num>
  <w:num w:numId="7" w16cid:durableId="1975600637">
    <w:abstractNumId w:val="0"/>
  </w:num>
  <w:num w:numId="8" w16cid:durableId="233703622">
    <w:abstractNumId w:val="6"/>
  </w:num>
  <w:num w:numId="9" w16cid:durableId="37709772">
    <w:abstractNumId w:val="5"/>
  </w:num>
  <w:num w:numId="10" w16cid:durableId="19615856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035"/>
    <w:rsid w:val="000B4473"/>
    <w:rsid w:val="003515B1"/>
    <w:rsid w:val="004B4035"/>
    <w:rsid w:val="00A745FD"/>
    <w:rsid w:val="00F42BE5"/>
    <w:rsid w:val="0D4EAA4F"/>
    <w:rsid w:val="134E543A"/>
    <w:rsid w:val="30EE0C6E"/>
    <w:rsid w:val="37A12A48"/>
    <w:rsid w:val="42AA49ED"/>
    <w:rsid w:val="441E213E"/>
    <w:rsid w:val="475A1035"/>
    <w:rsid w:val="4B96656A"/>
    <w:rsid w:val="4BE17B41"/>
    <w:rsid w:val="519776C3"/>
    <w:rsid w:val="699561E5"/>
    <w:rsid w:val="7C95A0E4"/>
    <w:rsid w:val="7E584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25EE"/>
  <w15:docId w15:val="{179B1526-6409-4840-91BC-6961479DFF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A745FD"/>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745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image" Target="media/image3.jpg" Id="rId9" /><Relationship Type="http://schemas.openxmlformats.org/officeDocument/2006/relationships/theme" Target="theme/theme1.xml" Id="rId14" /><Relationship Type="http://schemas.openxmlformats.org/officeDocument/2006/relationships/image" Target="/media/image3.png" Id="rId728704395" /><Relationship Type="http://schemas.openxmlformats.org/officeDocument/2006/relationships/image" Target="/media/image4.png" Id="rId943622629" /><Relationship Type="http://schemas.openxmlformats.org/officeDocument/2006/relationships/image" Target="/media/image5.png" Id="rId59160461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6BD3BF-D09B-436E-BA82-217519754B57}"/>
</file>

<file path=customXml/itemProps2.xml><?xml version="1.0" encoding="utf-8"?>
<ds:datastoreItem xmlns:ds="http://schemas.openxmlformats.org/officeDocument/2006/customXml" ds:itemID="{3B677C16-BC20-4C2E-956F-EA340F716554}"/>
</file>

<file path=customXml/itemProps3.xml><?xml version="1.0" encoding="utf-8"?>
<ds:datastoreItem xmlns:ds="http://schemas.openxmlformats.org/officeDocument/2006/customXml" ds:itemID="{8B7548F9-6ADB-45C8-9C61-92F1C69CCE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8</revision>
  <dcterms:created xsi:type="dcterms:W3CDTF">2025-08-02T12:20:00.0000000Z</dcterms:created>
  <dcterms:modified xsi:type="dcterms:W3CDTF">2026-09-18T11:16:41.6886811Z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